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rPr>
          <w:rFonts w:hint="eastAsia" w:ascii="黑体" w:hAnsi="黑体" w:eastAsia="黑体" w:cs="Times New Roman"/>
          <w:b/>
          <w:bCs/>
          <w:sz w:val="52"/>
          <w:szCs w:val="52"/>
        </w:rPr>
      </w:pPr>
      <w:r>
        <w:rPr>
          <w:rFonts w:hint="eastAsia" w:ascii="黑体" w:hAnsi="黑体" w:eastAsia="黑体" w:cs="Times New Roman"/>
          <w:b/>
          <w:bCs/>
          <w:sz w:val="52"/>
          <w:szCs w:val="52"/>
        </w:rPr>
        <w:t>新港公司6#堆场内轨道基础梁</w:t>
      </w:r>
    </w:p>
    <w:p>
      <w:pPr>
        <w:snapToGrid w:val="0"/>
        <w:spacing w:line="900" w:lineRule="exact"/>
        <w:jc w:val="center"/>
        <w:rPr>
          <w:rFonts w:hint="eastAsia" w:ascii="黑体" w:hAnsi="黑体" w:eastAsia="黑体" w:cs="Times New Roman"/>
          <w:b/>
          <w:bCs/>
          <w:sz w:val="52"/>
          <w:szCs w:val="52"/>
        </w:rPr>
      </w:pPr>
      <w:r>
        <w:rPr>
          <w:rFonts w:hint="eastAsia" w:ascii="黑体" w:hAnsi="黑体" w:eastAsia="黑体" w:cs="Times New Roman"/>
          <w:b/>
          <w:bCs/>
          <w:sz w:val="52"/>
          <w:szCs w:val="52"/>
        </w:rPr>
        <w:t>两排水沟砼盖板改造施工服务</w:t>
      </w:r>
    </w:p>
    <w:p>
      <w:pPr>
        <w:snapToGrid w:val="0"/>
        <w:spacing w:line="900" w:lineRule="exact"/>
        <w:jc w:val="center"/>
        <w:rPr>
          <w:rFonts w:ascii="黑体" w:hAnsi="黑体" w:eastAsia="黑体"/>
          <w:b/>
          <w:bCs/>
          <w:sz w:val="52"/>
          <w:szCs w:val="52"/>
        </w:rPr>
      </w:pPr>
      <w:r>
        <w:rPr>
          <w:rFonts w:hint="eastAsia" w:ascii="黑体" w:hAnsi="黑体" w:eastAsia="黑体"/>
          <w:b/>
          <w:bCs/>
          <w:sz w:val="52"/>
          <w:szCs w:val="52"/>
        </w:rPr>
        <w:t>询 价 采 购 文 件</w:t>
      </w:r>
    </w:p>
    <w:p>
      <w:pPr>
        <w:pStyle w:val="2"/>
      </w:pPr>
    </w:p>
    <w:p>
      <w:pPr>
        <w:jc w:val="center"/>
        <w:rPr>
          <w:rFonts w:ascii="宋体" w:hAnsi="宋体" w:cs="宋体"/>
          <w:b/>
          <w:color w:val="000000"/>
          <w:kern w:val="0"/>
          <w:sz w:val="28"/>
          <w:szCs w:val="28"/>
        </w:rPr>
      </w:pPr>
    </w:p>
    <w:p>
      <w:pPr>
        <w:snapToGrid w:val="0"/>
        <w:spacing w:line="480" w:lineRule="auto"/>
        <w:jc w:val="center"/>
        <w:rPr>
          <w:rFonts w:ascii="黑体" w:hAnsi="黑体" w:eastAsia="黑体" w:cs="黑体"/>
          <w:b/>
          <w:bCs/>
          <w:sz w:val="30"/>
          <w:szCs w:val="30"/>
        </w:rPr>
      </w:pPr>
      <w:r>
        <w:rPr>
          <w:rFonts w:hint="eastAsia" w:ascii="黑体" w:hAnsi="黑体" w:eastAsia="黑体" w:cs="黑体"/>
          <w:b/>
          <w:bCs/>
          <w:sz w:val="30"/>
          <w:szCs w:val="30"/>
        </w:rPr>
        <w:t>采购编号：省港</w:t>
      </w:r>
      <w:r>
        <w:rPr>
          <w:rFonts w:hint="eastAsia" w:ascii="黑体" w:hAnsi="黑体" w:eastAsia="黑体" w:cs="黑体"/>
          <w:b/>
          <w:bCs/>
          <w:sz w:val="30"/>
          <w:szCs w:val="30"/>
          <w:lang w:val="en-US" w:eastAsia="zh-CN"/>
        </w:rPr>
        <w:t>工</w:t>
      </w:r>
      <w:r>
        <w:rPr>
          <w:rFonts w:hint="eastAsia" w:ascii="黑体" w:hAnsi="黑体" w:eastAsia="黑体" w:cs="黑体"/>
          <w:b/>
          <w:bCs/>
          <w:sz w:val="30"/>
          <w:szCs w:val="30"/>
        </w:rPr>
        <w:t>（2022）年询第</w:t>
      </w:r>
      <w:r>
        <w:rPr>
          <w:rFonts w:hint="eastAsia" w:ascii="黑体" w:hAnsi="黑体" w:eastAsia="黑体" w:cs="黑体"/>
          <w:b/>
          <w:bCs/>
          <w:sz w:val="30"/>
          <w:szCs w:val="30"/>
          <w:lang w:val="en-US" w:eastAsia="zh-CN"/>
        </w:rPr>
        <w:t>3</w:t>
      </w:r>
      <w:r>
        <w:rPr>
          <w:rFonts w:hint="eastAsia" w:ascii="黑体" w:hAnsi="黑体" w:eastAsia="黑体" w:cs="黑体"/>
          <w:b/>
          <w:bCs/>
          <w:sz w:val="30"/>
          <w:szCs w:val="30"/>
        </w:rPr>
        <w:t>号【港产】</w:t>
      </w:r>
    </w:p>
    <w:p>
      <w:pPr>
        <w:spacing w:line="600" w:lineRule="exact"/>
      </w:pPr>
    </w:p>
    <w:p>
      <w:pPr>
        <w:spacing w:line="600" w:lineRule="exact"/>
      </w:pPr>
    </w:p>
    <w:p>
      <w:pPr>
        <w:spacing w:line="600" w:lineRule="exact"/>
      </w:pPr>
    </w:p>
    <w:p>
      <w:pPr>
        <w:pStyle w:val="15"/>
      </w:pPr>
    </w:p>
    <w:p>
      <w:pPr>
        <w:pStyle w:val="15"/>
      </w:pPr>
    </w:p>
    <w:p>
      <w:pPr>
        <w:pStyle w:val="15"/>
      </w:pPr>
    </w:p>
    <w:p>
      <w:pPr>
        <w:pStyle w:val="15"/>
      </w:pPr>
    </w:p>
    <w:p>
      <w:pPr>
        <w:pStyle w:val="15"/>
      </w:pPr>
    </w:p>
    <w:p>
      <w:pPr>
        <w:pStyle w:val="15"/>
      </w:pPr>
    </w:p>
    <w:p>
      <w:pPr>
        <w:pStyle w:val="15"/>
      </w:pPr>
    </w:p>
    <w:p>
      <w:pPr>
        <w:pStyle w:val="15"/>
        <w:ind w:left="0" w:firstLine="0"/>
      </w:pPr>
    </w:p>
    <w:p>
      <w:pPr>
        <w:pStyle w:val="15"/>
      </w:pPr>
    </w:p>
    <w:p>
      <w:pPr>
        <w:pStyle w:val="15"/>
      </w:pPr>
    </w:p>
    <w:p>
      <w:pPr>
        <w:pStyle w:val="15"/>
      </w:pPr>
    </w:p>
    <w:p>
      <w:pPr>
        <w:pStyle w:val="15"/>
      </w:pPr>
    </w:p>
    <w:p>
      <w:pPr>
        <w:spacing w:line="600" w:lineRule="exact"/>
      </w:pPr>
    </w:p>
    <w:p>
      <w:pPr>
        <w:tabs>
          <w:tab w:val="left" w:pos="0"/>
          <w:tab w:val="left" w:pos="4185"/>
        </w:tabs>
        <w:spacing w:line="288" w:lineRule="auto"/>
        <w:ind w:right="-6"/>
        <w:jc w:val="center"/>
        <w:rPr>
          <w:rFonts w:ascii="黑体" w:hAnsi="黑体" w:eastAsia="黑体"/>
          <w:bCs/>
          <w:sz w:val="48"/>
          <w:szCs w:val="48"/>
        </w:rPr>
      </w:pPr>
      <w:r>
        <w:rPr>
          <w:rFonts w:hint="eastAsia" w:ascii="黑体" w:hAnsi="黑体" w:eastAsia="黑体"/>
          <w:bCs/>
          <w:sz w:val="48"/>
          <w:szCs w:val="48"/>
        </w:rPr>
        <w:t>湖南港产科技有限公司</w:t>
      </w:r>
    </w:p>
    <w:p>
      <w:pPr>
        <w:tabs>
          <w:tab w:val="left" w:pos="0"/>
          <w:tab w:val="left" w:pos="4185"/>
        </w:tabs>
        <w:spacing w:line="288" w:lineRule="auto"/>
        <w:ind w:right="-6"/>
        <w:jc w:val="center"/>
        <w:rPr>
          <w:rFonts w:ascii="黑体" w:hAnsi="黑体" w:eastAsia="黑体"/>
          <w:bCs/>
          <w:sz w:val="48"/>
          <w:szCs w:val="48"/>
        </w:rPr>
      </w:pPr>
      <w:r>
        <w:rPr>
          <w:rFonts w:hint="eastAsia" w:ascii="黑体" w:hAnsi="黑体" w:eastAsia="黑体"/>
          <w:bCs/>
          <w:sz w:val="48"/>
          <w:szCs w:val="48"/>
        </w:rPr>
        <w:t>二О二二年</w:t>
      </w:r>
      <w:r>
        <w:rPr>
          <w:rFonts w:hint="eastAsia" w:ascii="黑体" w:hAnsi="黑体" w:eastAsia="黑体"/>
          <w:bCs/>
          <w:sz w:val="48"/>
          <w:szCs w:val="48"/>
          <w:lang w:val="en-US" w:eastAsia="zh-CN"/>
        </w:rPr>
        <w:t>五</w:t>
      </w:r>
      <w:r>
        <w:rPr>
          <w:rFonts w:hint="eastAsia" w:ascii="黑体" w:hAnsi="黑体" w:eastAsia="黑体"/>
          <w:bCs/>
          <w:sz w:val="48"/>
          <w:szCs w:val="48"/>
        </w:rPr>
        <w:t>月</w:t>
      </w:r>
    </w:p>
    <w:p>
      <w:pPr>
        <w:rPr>
          <w:rFonts w:ascii="黑体" w:hAnsi="黑体" w:eastAsia="黑体"/>
          <w:b w:val="0"/>
          <w:color w:val="auto"/>
          <w:sz w:val="44"/>
          <w:szCs w:val="44"/>
          <w:lang w:val="zh-CN"/>
        </w:rPr>
      </w:pPr>
      <w:r>
        <w:rPr>
          <w:rFonts w:ascii="黑体" w:hAnsi="黑体" w:eastAsia="黑体"/>
          <w:b w:val="0"/>
          <w:color w:val="auto"/>
          <w:sz w:val="44"/>
          <w:szCs w:val="44"/>
          <w:lang w:val="zh-CN"/>
        </w:rPr>
        <w:br w:type="page"/>
      </w:r>
    </w:p>
    <w:p>
      <w:pPr>
        <w:rPr>
          <w:lang w:val="zh-CN"/>
        </w:rPr>
      </w:pPr>
    </w:p>
    <w:sdt>
      <w:sdtPr>
        <w:rPr>
          <w:rFonts w:ascii="宋体" w:hAnsi="宋体"/>
        </w:rPr>
        <w:id w:val="147480426"/>
        <w15:color w:val="DBDBDB"/>
        <w:docPartObj>
          <w:docPartGallery w:val="Table of Contents"/>
          <w:docPartUnique/>
        </w:docPartObj>
      </w:sdtPr>
      <w:sdtEndPr>
        <w:rPr>
          <w:rFonts w:ascii="宋体" w:hAnsi="宋体"/>
          <w:sz w:val="30"/>
          <w:szCs w:val="30"/>
        </w:rPr>
      </w:sdtEndPr>
      <w:sdtContent>
        <w:p>
          <w:pPr>
            <w:spacing w:line="240" w:lineRule="auto"/>
            <w:jc w:val="center"/>
            <w:rPr>
              <w:rFonts w:ascii="黑体" w:hAnsi="黑体" w:eastAsia="黑体" w:cs="黑体"/>
              <w:sz w:val="44"/>
              <w:szCs w:val="44"/>
            </w:rPr>
          </w:pPr>
          <w:r>
            <w:rPr>
              <w:rFonts w:hint="eastAsia" w:ascii="黑体" w:hAnsi="黑体" w:eastAsia="黑体" w:cs="黑体"/>
              <w:sz w:val="44"/>
              <w:szCs w:val="44"/>
            </w:rPr>
            <w:t>目  录</w:t>
          </w:r>
        </w:p>
        <w:p>
          <w:pPr>
            <w:pStyle w:val="22"/>
            <w:tabs>
              <w:tab w:val="right" w:leader="dot" w:pos="8300"/>
            </w:tabs>
            <w:rPr>
              <w:rFonts w:ascii="黑体" w:hAnsi="黑体" w:eastAsia="黑体" w:cs="黑体"/>
              <w:sz w:val="24"/>
              <w:szCs w:val="24"/>
              <w:lang w:val="zh-CN"/>
            </w:rPr>
          </w:pPr>
        </w:p>
        <w:p>
          <w:pPr>
            <w:pStyle w:val="22"/>
            <w:tabs>
              <w:tab w:val="right" w:leader="dot" w:pos="8300"/>
            </w:tabs>
            <w:rPr>
              <w:rFonts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TOC \o "1-1" \h \u </w:instrText>
          </w:r>
          <w:r>
            <w:rPr>
              <w:rFonts w:hint="eastAsia" w:ascii="黑体" w:hAnsi="黑体" w:eastAsia="黑体" w:cs="黑体"/>
              <w:sz w:val="30"/>
              <w:szCs w:val="30"/>
              <w:lang w:val="zh-CN"/>
            </w:rPr>
            <w:fldChar w:fldCharType="separate"/>
          </w:r>
          <w:r>
            <w:fldChar w:fldCharType="begin"/>
          </w:r>
          <w:r>
            <w:instrText xml:space="preserve"> HYPERLINK \l "_Toc28648" </w:instrText>
          </w:r>
          <w:r>
            <w:fldChar w:fldCharType="separate"/>
          </w:r>
          <w:r>
            <w:rPr>
              <w:rFonts w:hint="eastAsia" w:ascii="黑体" w:hAnsi="黑体" w:eastAsia="黑体" w:cs="黑体"/>
              <w:sz w:val="30"/>
              <w:szCs w:val="30"/>
            </w:rPr>
            <w:t>第一章 采购公告</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_Toc28648 \h </w:instrText>
          </w:r>
          <w:r>
            <w:rPr>
              <w:rFonts w:hint="eastAsia" w:ascii="黑体" w:hAnsi="黑体" w:eastAsia="黑体" w:cs="黑体"/>
              <w:sz w:val="30"/>
              <w:szCs w:val="30"/>
            </w:rPr>
            <w:fldChar w:fldCharType="separate"/>
          </w:r>
          <w:r>
            <w:rPr>
              <w:rFonts w:hint="eastAsia" w:ascii="黑体" w:hAnsi="黑体" w:eastAsia="黑体" w:cs="黑体"/>
              <w:sz w:val="30"/>
              <w:szCs w:val="30"/>
            </w:rPr>
            <w:t>3</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"_Toc13560" </w:instrText>
          </w:r>
          <w:r>
            <w:fldChar w:fldCharType="separate"/>
          </w:r>
          <w:r>
            <w:rPr>
              <w:rFonts w:hint="eastAsia" w:ascii="黑体" w:hAnsi="黑体" w:eastAsia="黑体" w:cs="黑体"/>
              <w:sz w:val="30"/>
              <w:szCs w:val="30"/>
            </w:rPr>
            <w:t>第二章 供应商须知</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_Toc13560 \h </w:instrText>
          </w:r>
          <w:r>
            <w:rPr>
              <w:rFonts w:hint="eastAsia" w:ascii="黑体" w:hAnsi="黑体" w:eastAsia="黑体" w:cs="黑体"/>
              <w:sz w:val="30"/>
              <w:szCs w:val="30"/>
            </w:rPr>
            <w:fldChar w:fldCharType="separate"/>
          </w:r>
          <w:r>
            <w:rPr>
              <w:rFonts w:hint="eastAsia" w:ascii="黑体" w:hAnsi="黑体" w:eastAsia="黑体" w:cs="黑体"/>
              <w:sz w:val="30"/>
              <w:szCs w:val="30"/>
            </w:rPr>
            <w:t>7</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"_Toc27443" </w:instrText>
          </w:r>
          <w:r>
            <w:fldChar w:fldCharType="separate"/>
          </w:r>
          <w:r>
            <w:rPr>
              <w:rFonts w:hint="eastAsia" w:ascii="黑体" w:hAnsi="黑体" w:eastAsia="黑体" w:cs="黑体"/>
              <w:bCs/>
              <w:sz w:val="30"/>
              <w:szCs w:val="30"/>
            </w:rPr>
            <w:t>第三章 评审办法</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_Toc27443 \h </w:instrText>
          </w:r>
          <w:r>
            <w:rPr>
              <w:rFonts w:hint="eastAsia" w:ascii="黑体" w:hAnsi="黑体" w:eastAsia="黑体" w:cs="黑体"/>
              <w:sz w:val="30"/>
              <w:szCs w:val="30"/>
            </w:rPr>
            <w:fldChar w:fldCharType="separate"/>
          </w:r>
          <w:r>
            <w:rPr>
              <w:rFonts w:hint="eastAsia" w:ascii="黑体" w:hAnsi="黑体" w:eastAsia="黑体" w:cs="黑体"/>
              <w:sz w:val="30"/>
              <w:szCs w:val="30"/>
            </w:rPr>
            <w:t>25</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"_Toc9628" </w:instrText>
          </w:r>
          <w:r>
            <w:fldChar w:fldCharType="separate"/>
          </w:r>
          <w:r>
            <w:rPr>
              <w:rFonts w:hint="eastAsia" w:ascii="黑体" w:hAnsi="黑体" w:eastAsia="黑体" w:cs="黑体"/>
              <w:sz w:val="30"/>
              <w:szCs w:val="30"/>
            </w:rPr>
            <w:t>第四章 合同条款及格式</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_Toc9628 \h </w:instrText>
          </w:r>
          <w:r>
            <w:rPr>
              <w:rFonts w:hint="eastAsia" w:ascii="黑体" w:hAnsi="黑体" w:eastAsia="黑体" w:cs="黑体"/>
              <w:sz w:val="30"/>
              <w:szCs w:val="30"/>
            </w:rPr>
            <w:fldChar w:fldCharType="separate"/>
          </w:r>
          <w:r>
            <w:rPr>
              <w:rFonts w:hint="eastAsia" w:ascii="黑体" w:hAnsi="黑体" w:eastAsia="黑体" w:cs="黑体"/>
              <w:sz w:val="30"/>
              <w:szCs w:val="30"/>
            </w:rPr>
            <w:t>29</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"_Toc31503" </w:instrText>
          </w:r>
          <w:r>
            <w:fldChar w:fldCharType="separate"/>
          </w:r>
          <w:r>
            <w:rPr>
              <w:rFonts w:hint="eastAsia" w:ascii="黑体" w:hAnsi="黑体" w:eastAsia="黑体" w:cs="黑体"/>
              <w:sz w:val="30"/>
              <w:szCs w:val="30"/>
            </w:rPr>
            <w:t>第五章 采购需求</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_Toc31503 \h </w:instrText>
          </w:r>
          <w:r>
            <w:rPr>
              <w:rFonts w:hint="eastAsia" w:ascii="黑体" w:hAnsi="黑体" w:eastAsia="黑体" w:cs="黑体"/>
              <w:sz w:val="30"/>
              <w:szCs w:val="30"/>
            </w:rPr>
            <w:fldChar w:fldCharType="separate"/>
          </w:r>
          <w:r>
            <w:rPr>
              <w:rFonts w:hint="eastAsia" w:ascii="黑体" w:hAnsi="黑体" w:eastAsia="黑体" w:cs="黑体"/>
              <w:sz w:val="30"/>
              <w:szCs w:val="30"/>
            </w:rPr>
            <w:t>37</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"_Toc13840" </w:instrText>
          </w:r>
          <w:r>
            <w:fldChar w:fldCharType="separate"/>
          </w:r>
          <w:r>
            <w:rPr>
              <w:rFonts w:hint="eastAsia" w:ascii="黑体" w:hAnsi="黑体" w:eastAsia="黑体" w:cs="黑体"/>
              <w:sz w:val="30"/>
              <w:szCs w:val="30"/>
            </w:rPr>
            <w:t>第六章 响应文件格式</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_Toc13840 \h </w:instrText>
          </w:r>
          <w:r>
            <w:rPr>
              <w:rFonts w:hint="eastAsia" w:ascii="黑体" w:hAnsi="黑体" w:eastAsia="黑体" w:cs="黑体"/>
              <w:sz w:val="30"/>
              <w:szCs w:val="30"/>
            </w:rPr>
            <w:fldChar w:fldCharType="separate"/>
          </w:r>
          <w:r>
            <w:rPr>
              <w:rFonts w:hint="eastAsia" w:ascii="黑体" w:hAnsi="黑体" w:eastAsia="黑体" w:cs="黑体"/>
              <w:sz w:val="30"/>
              <w:szCs w:val="30"/>
            </w:rPr>
            <w:t>39</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"_Toc23650" </w:instrText>
          </w:r>
          <w:r>
            <w:fldChar w:fldCharType="separate"/>
          </w:r>
          <w:r>
            <w:rPr>
              <w:rFonts w:hint="eastAsia" w:ascii="黑体" w:hAnsi="黑体" w:eastAsia="黑体" w:cs="黑体"/>
              <w:sz w:val="30"/>
              <w:szCs w:val="30"/>
            </w:rPr>
            <w:t>一、响应函</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_Toc23650 \h </w:instrText>
          </w:r>
          <w:r>
            <w:rPr>
              <w:rFonts w:hint="eastAsia" w:ascii="黑体" w:hAnsi="黑体" w:eastAsia="黑体" w:cs="黑体"/>
              <w:sz w:val="30"/>
              <w:szCs w:val="30"/>
            </w:rPr>
            <w:fldChar w:fldCharType="separate"/>
          </w:r>
          <w:r>
            <w:rPr>
              <w:rFonts w:hint="eastAsia" w:ascii="黑体" w:hAnsi="黑体" w:eastAsia="黑体" w:cs="黑体"/>
              <w:sz w:val="30"/>
              <w:szCs w:val="30"/>
            </w:rPr>
            <w:t>41</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"_Toc747" </w:instrText>
          </w:r>
          <w:r>
            <w:fldChar w:fldCharType="separate"/>
          </w:r>
          <w:r>
            <w:rPr>
              <w:rFonts w:hint="eastAsia" w:ascii="黑体" w:hAnsi="黑体" w:eastAsia="黑体" w:cs="黑体"/>
              <w:sz w:val="30"/>
              <w:szCs w:val="30"/>
            </w:rPr>
            <w:t>二、授权委托书</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_Toc747 \h </w:instrText>
          </w:r>
          <w:r>
            <w:rPr>
              <w:rFonts w:hint="eastAsia" w:ascii="黑体" w:hAnsi="黑体" w:eastAsia="黑体" w:cs="黑体"/>
              <w:sz w:val="30"/>
              <w:szCs w:val="30"/>
            </w:rPr>
            <w:fldChar w:fldCharType="separate"/>
          </w:r>
          <w:r>
            <w:rPr>
              <w:rFonts w:hint="eastAsia" w:ascii="黑体" w:hAnsi="黑体" w:eastAsia="黑体" w:cs="黑体"/>
              <w:sz w:val="30"/>
              <w:szCs w:val="30"/>
            </w:rPr>
            <w:t>44</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"_Toc6895" </w:instrText>
          </w:r>
          <w:r>
            <w:fldChar w:fldCharType="separate"/>
          </w:r>
          <w:r>
            <w:rPr>
              <w:rFonts w:hint="eastAsia" w:ascii="黑体" w:hAnsi="黑体" w:eastAsia="黑体" w:cs="黑体"/>
              <w:sz w:val="30"/>
              <w:szCs w:val="30"/>
            </w:rPr>
            <w:t>三、商务和技术偏差表</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_Toc6895 \h </w:instrText>
          </w:r>
          <w:r>
            <w:rPr>
              <w:rFonts w:hint="eastAsia" w:ascii="黑体" w:hAnsi="黑体" w:eastAsia="黑体" w:cs="黑体"/>
              <w:sz w:val="30"/>
              <w:szCs w:val="30"/>
            </w:rPr>
            <w:fldChar w:fldCharType="separate"/>
          </w:r>
          <w:r>
            <w:rPr>
              <w:rFonts w:hint="eastAsia" w:ascii="黑体" w:hAnsi="黑体" w:eastAsia="黑体" w:cs="黑体"/>
              <w:sz w:val="30"/>
              <w:szCs w:val="30"/>
            </w:rPr>
            <w:t>45</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"_Toc26297" </w:instrText>
          </w:r>
          <w:r>
            <w:fldChar w:fldCharType="separate"/>
          </w:r>
          <w:r>
            <w:rPr>
              <w:rFonts w:hint="eastAsia" w:ascii="黑体" w:hAnsi="黑体" w:eastAsia="黑体" w:cs="黑体"/>
              <w:sz w:val="30"/>
              <w:szCs w:val="30"/>
            </w:rPr>
            <w:t>四、报价表</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_Toc26297 \h </w:instrText>
          </w:r>
          <w:r>
            <w:rPr>
              <w:rFonts w:hint="eastAsia" w:ascii="黑体" w:hAnsi="黑体" w:eastAsia="黑体" w:cs="黑体"/>
              <w:sz w:val="30"/>
              <w:szCs w:val="30"/>
            </w:rPr>
            <w:fldChar w:fldCharType="separate"/>
          </w:r>
          <w:r>
            <w:rPr>
              <w:rFonts w:hint="eastAsia" w:ascii="黑体" w:hAnsi="黑体" w:eastAsia="黑体" w:cs="黑体"/>
              <w:sz w:val="30"/>
              <w:szCs w:val="30"/>
            </w:rPr>
            <w:t>46</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"_Toc25545" </w:instrText>
          </w:r>
          <w:r>
            <w:fldChar w:fldCharType="separate"/>
          </w:r>
          <w:r>
            <w:rPr>
              <w:rFonts w:hint="eastAsia" w:ascii="黑体" w:hAnsi="黑体" w:eastAsia="黑体" w:cs="黑体"/>
              <w:sz w:val="30"/>
              <w:szCs w:val="30"/>
            </w:rPr>
            <w:t>五、资格审查资料</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_Toc25545 \h </w:instrText>
          </w:r>
          <w:r>
            <w:rPr>
              <w:rFonts w:hint="eastAsia" w:ascii="黑体" w:hAnsi="黑体" w:eastAsia="黑体" w:cs="黑体"/>
              <w:sz w:val="30"/>
              <w:szCs w:val="30"/>
            </w:rPr>
            <w:fldChar w:fldCharType="separate"/>
          </w:r>
          <w:r>
            <w:rPr>
              <w:rFonts w:hint="eastAsia" w:ascii="黑体" w:hAnsi="黑体" w:eastAsia="黑体" w:cs="黑体"/>
              <w:sz w:val="30"/>
              <w:szCs w:val="30"/>
            </w:rPr>
            <w:t>47</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"_Toc22288" </w:instrText>
          </w:r>
          <w:r>
            <w:fldChar w:fldCharType="separate"/>
          </w:r>
          <w:r>
            <w:rPr>
              <w:rFonts w:hint="eastAsia" w:ascii="黑体" w:hAnsi="黑体" w:eastAsia="黑体" w:cs="黑体"/>
              <w:sz w:val="30"/>
              <w:szCs w:val="30"/>
            </w:rPr>
            <w:t>六、响应方案</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_Toc22288 \h </w:instrText>
          </w:r>
          <w:r>
            <w:rPr>
              <w:rFonts w:hint="eastAsia" w:ascii="黑体" w:hAnsi="黑体" w:eastAsia="黑体" w:cs="黑体"/>
              <w:sz w:val="30"/>
              <w:szCs w:val="30"/>
            </w:rPr>
            <w:fldChar w:fldCharType="separate"/>
          </w:r>
          <w:r>
            <w:rPr>
              <w:rFonts w:hint="eastAsia" w:ascii="黑体" w:hAnsi="黑体" w:eastAsia="黑体" w:cs="黑体"/>
              <w:sz w:val="30"/>
              <w:szCs w:val="30"/>
            </w:rPr>
            <w:t>50</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"_Toc30187" </w:instrText>
          </w:r>
          <w:r>
            <w:fldChar w:fldCharType="separate"/>
          </w:r>
          <w:r>
            <w:rPr>
              <w:rFonts w:hint="eastAsia" w:ascii="黑体" w:hAnsi="黑体" w:eastAsia="黑体" w:cs="黑体"/>
              <w:sz w:val="30"/>
              <w:szCs w:val="30"/>
            </w:rPr>
            <w:t>七、其他资料</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_Toc30187 \h </w:instrText>
          </w:r>
          <w:r>
            <w:rPr>
              <w:rFonts w:hint="eastAsia" w:ascii="黑体" w:hAnsi="黑体" w:eastAsia="黑体" w:cs="黑体"/>
              <w:sz w:val="30"/>
              <w:szCs w:val="30"/>
            </w:rPr>
            <w:fldChar w:fldCharType="separate"/>
          </w:r>
          <w:r>
            <w:rPr>
              <w:rFonts w:hint="eastAsia" w:ascii="黑体" w:hAnsi="黑体" w:eastAsia="黑体" w:cs="黑体"/>
              <w:sz w:val="30"/>
              <w:szCs w:val="30"/>
            </w:rPr>
            <w:t>51</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12"/>
            <w:widowControl w:val="0"/>
            <w:tabs>
              <w:tab w:val="right" w:leader="dot" w:pos="8948"/>
              <w:tab w:val="clear" w:pos="9242"/>
            </w:tabs>
            <w:adjustRightInd w:val="0"/>
            <w:snapToGrid w:val="0"/>
            <w:spacing w:before="60" w:after="60" w:line="312" w:lineRule="auto"/>
            <w:rPr>
              <w:rFonts w:ascii="Times New Roman"/>
              <w:sz w:val="30"/>
              <w:szCs w:val="30"/>
            </w:rPr>
          </w:pPr>
          <w:r>
            <w:rPr>
              <w:rFonts w:hint="eastAsia" w:ascii="黑体" w:hAnsi="黑体" w:eastAsia="黑体" w:cs="黑体"/>
              <w:sz w:val="30"/>
              <w:szCs w:val="30"/>
              <w:lang w:val="zh-CN"/>
            </w:rPr>
            <w:fldChar w:fldCharType="end"/>
          </w:r>
        </w:p>
      </w:sdtContent>
    </w:sdt>
    <w:p>
      <w:r>
        <w:br w:type="page"/>
      </w:r>
    </w:p>
    <w:p>
      <w:pPr>
        <w:widowControl w:val="0"/>
        <w:adjustRightInd w:val="0"/>
        <w:snapToGrid w:val="0"/>
        <w:spacing w:line="240" w:lineRule="auto"/>
        <w:ind w:firstLine="420" w:firstLineChars="200"/>
        <w:rPr>
          <w:szCs w:val="21"/>
        </w:rPr>
      </w:pPr>
    </w:p>
    <w:p>
      <w:pPr>
        <w:pStyle w:val="23"/>
        <w:numPr>
          <w:ilvl w:val="0"/>
          <w:numId w:val="1"/>
        </w:numPr>
        <w:spacing w:line="600" w:lineRule="exact"/>
        <w:ind w:firstLineChars="0"/>
        <w:jc w:val="center"/>
        <w:rPr>
          <w:rFonts w:ascii="黑体" w:hAnsi="黑体" w:eastAsia="黑体" w:cs="仿宋"/>
          <w:b/>
          <w:color w:val="000000"/>
          <w:sz w:val="44"/>
          <w:szCs w:val="44"/>
        </w:rPr>
      </w:pPr>
      <w:r>
        <w:rPr>
          <w:rFonts w:hint="eastAsia" w:ascii="黑体" w:hAnsi="黑体" w:eastAsia="黑体" w:cs="仿宋"/>
          <w:b/>
          <w:color w:val="000000"/>
          <w:sz w:val="44"/>
          <w:szCs w:val="44"/>
        </w:rPr>
        <w:t>采购公告</w:t>
      </w:r>
    </w:p>
    <w:p>
      <w:pPr>
        <w:pStyle w:val="23"/>
        <w:spacing w:line="600" w:lineRule="exact"/>
        <w:ind w:left="1785" w:firstLine="0" w:firstLineChars="0"/>
        <w:rPr>
          <w:rFonts w:ascii="黑体" w:hAnsi="黑体" w:eastAsia="黑体" w:cs="仿宋"/>
          <w:b/>
          <w:color w:val="000000"/>
          <w:sz w:val="44"/>
          <w:szCs w:val="44"/>
        </w:rPr>
      </w:pPr>
    </w:p>
    <w:p>
      <w:pPr>
        <w:widowControl w:val="0"/>
        <w:adjustRightInd w:val="0"/>
        <w:snapToGrid w:val="0"/>
        <w:spacing w:line="312" w:lineRule="auto"/>
        <w:jc w:val="center"/>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新港公司6#堆场内轨道基础梁两边排水沟砼盖板改造施工</w:t>
      </w:r>
    </w:p>
    <w:p>
      <w:pPr>
        <w:widowControl w:val="0"/>
        <w:adjustRightInd w:val="0"/>
        <w:snapToGrid w:val="0"/>
        <w:spacing w:line="312" w:lineRule="auto"/>
        <w:jc w:val="center"/>
        <w:rPr>
          <w:rFonts w:ascii="黑体" w:hAnsi="黑体" w:eastAsia="黑体"/>
          <w:sz w:val="32"/>
          <w:szCs w:val="32"/>
        </w:rPr>
      </w:pPr>
      <w:r>
        <w:rPr>
          <w:rFonts w:hint="eastAsia" w:asciiTheme="majorEastAsia" w:hAnsiTheme="majorEastAsia" w:eastAsiaTheme="majorEastAsia" w:cstheme="majorEastAsia"/>
          <w:b/>
          <w:bCs/>
          <w:sz w:val="32"/>
          <w:szCs w:val="32"/>
        </w:rPr>
        <w:t>询价</w:t>
      </w:r>
      <w:r>
        <w:rPr>
          <w:rFonts w:hint="eastAsia" w:ascii="黑体" w:hAnsi="黑体" w:eastAsia="黑体"/>
          <w:sz w:val="32"/>
          <w:szCs w:val="32"/>
        </w:rPr>
        <w:t>采购公告</w:t>
      </w:r>
    </w:p>
    <w:p>
      <w:pPr>
        <w:pStyle w:val="14"/>
        <w:spacing w:before="0" w:beforeAutospacing="0" w:after="0" w:afterAutospacing="0" w:line="360" w:lineRule="auto"/>
        <w:ind w:firstLine="2880" w:firstLineChars="1200"/>
        <w:jc w:val="both"/>
      </w:pPr>
      <w:r>
        <w:rPr>
          <w:rFonts w:hint="eastAsia"/>
        </w:rPr>
        <w:t xml:space="preserve"> </w:t>
      </w:r>
    </w:p>
    <w:p>
      <w:pPr>
        <w:widowControl w:val="0"/>
        <w:adjustRightInd w:val="0"/>
        <w:snapToGrid w:val="0"/>
        <w:spacing w:line="360" w:lineRule="auto"/>
        <w:ind w:firstLine="480" w:firstLineChars="200"/>
        <w:rPr>
          <w:rFonts w:ascii="宋体" w:hAnsi="宋体"/>
          <w:sz w:val="24"/>
        </w:rPr>
      </w:pPr>
      <w:r>
        <w:rPr>
          <w:rFonts w:hint="eastAsia" w:ascii="宋体" w:hAnsi="宋体"/>
          <w:sz w:val="24"/>
          <w:lang w:eastAsia="zh-CN"/>
        </w:rPr>
        <w:t>新港公司6#堆场内轨道基础梁两边排水沟砼盖板改造施工</w:t>
      </w:r>
      <w:r>
        <w:rPr>
          <w:rFonts w:hint="eastAsia" w:ascii="宋体" w:hAnsi="宋体"/>
          <w:sz w:val="24"/>
        </w:rPr>
        <w:t>项目</w:t>
      </w:r>
      <w:r>
        <w:rPr>
          <w:rFonts w:hint="eastAsia" w:ascii="宋体" w:hAnsi="宋体" w:cs="宋体"/>
          <w:bCs/>
          <w:sz w:val="24"/>
        </w:rPr>
        <w:t>经湖南省港务集团批准，现将安装施工进行劳务外包</w:t>
      </w:r>
      <w:r>
        <w:rPr>
          <w:rFonts w:hint="eastAsia" w:ascii="宋体" w:hAnsi="宋体"/>
          <w:sz w:val="24"/>
        </w:rPr>
        <w:t>，现公开邀请供应商参加采购活动。</w:t>
      </w:r>
    </w:p>
    <w:p>
      <w:pPr>
        <w:pStyle w:val="8"/>
        <w:spacing w:line="360" w:lineRule="auto"/>
        <w:jc w:val="both"/>
        <w:rPr>
          <w:rFonts w:ascii="Arial" w:hAnsi="Arial"/>
        </w:rPr>
      </w:pPr>
      <w:r>
        <w:rPr>
          <w:rFonts w:hint="eastAsia"/>
        </w:rPr>
        <w:t xml:space="preserve">1 </w:t>
      </w:r>
      <w:r>
        <w:rPr>
          <w:rFonts w:hint="eastAsia" w:ascii="黑体" w:hAnsi="黑体"/>
        </w:rPr>
        <w:t xml:space="preserve">采购项目简介 </w:t>
      </w:r>
    </w:p>
    <w:p>
      <w:pPr>
        <w:autoSpaceDE w:val="0"/>
        <w:spacing w:line="360" w:lineRule="auto"/>
        <w:jc w:val="both"/>
        <w:rPr>
          <w:rFonts w:ascii="宋体" w:hAnsi="宋体"/>
          <w:sz w:val="24"/>
        </w:rPr>
      </w:pPr>
      <w:r>
        <w:rPr>
          <w:rFonts w:hint="eastAsia" w:ascii="宋体" w:hAnsi="宋体"/>
          <w:b/>
          <w:bCs/>
          <w:sz w:val="24"/>
        </w:rPr>
        <w:t>1.1</w:t>
      </w:r>
      <w:r>
        <w:rPr>
          <w:rFonts w:hint="eastAsia" w:ascii="宋体" w:hAnsi="宋体"/>
          <w:sz w:val="24"/>
        </w:rPr>
        <w:t xml:space="preserve"> 采购项目名称:</w:t>
      </w:r>
      <w:r>
        <w:rPr>
          <w:rFonts w:hint="eastAsia" w:ascii="宋体" w:hAnsi="宋体"/>
          <w:sz w:val="24"/>
          <w:lang w:eastAsia="zh-CN"/>
        </w:rPr>
        <w:t>新港公司6#堆场内轨道基础梁两边排水沟砼盖板改造施工</w:t>
      </w:r>
      <w:r>
        <w:rPr>
          <w:rFonts w:hint="eastAsia" w:ascii="宋体" w:hAnsi="宋体"/>
          <w:sz w:val="24"/>
        </w:rPr>
        <w:t>项目</w:t>
      </w:r>
    </w:p>
    <w:p>
      <w:pPr>
        <w:autoSpaceDE w:val="0"/>
        <w:spacing w:line="360" w:lineRule="auto"/>
        <w:jc w:val="both"/>
        <w:rPr>
          <w:rFonts w:ascii="宋体" w:hAnsi="宋体"/>
          <w:sz w:val="24"/>
        </w:rPr>
      </w:pPr>
      <w:r>
        <w:rPr>
          <w:rFonts w:hint="eastAsia" w:ascii="宋体" w:hAnsi="宋体"/>
          <w:b/>
          <w:bCs/>
          <w:sz w:val="24"/>
        </w:rPr>
        <w:t>1.2</w:t>
      </w:r>
      <w:r>
        <w:rPr>
          <w:rFonts w:hint="eastAsia" w:ascii="宋体" w:hAnsi="宋体"/>
          <w:sz w:val="24"/>
        </w:rPr>
        <w:t xml:space="preserve"> 采购人: 湖南港产科技有限公司</w:t>
      </w:r>
    </w:p>
    <w:p>
      <w:pPr>
        <w:autoSpaceDE w:val="0"/>
        <w:spacing w:line="360" w:lineRule="auto"/>
        <w:jc w:val="both"/>
        <w:rPr>
          <w:rFonts w:ascii="宋体" w:hAnsi="宋体"/>
          <w:sz w:val="24"/>
        </w:rPr>
      </w:pPr>
      <w:r>
        <w:rPr>
          <w:rFonts w:hint="eastAsia" w:ascii="宋体" w:hAnsi="宋体"/>
          <w:b/>
          <w:bCs/>
          <w:sz w:val="24"/>
        </w:rPr>
        <w:t>1.3</w:t>
      </w:r>
      <w:r>
        <w:rPr>
          <w:rFonts w:hint="eastAsia" w:ascii="宋体" w:hAnsi="宋体"/>
          <w:sz w:val="24"/>
        </w:rPr>
        <w:t xml:space="preserve"> 采购代理机构:无</w:t>
      </w:r>
    </w:p>
    <w:p>
      <w:pPr>
        <w:autoSpaceDE w:val="0"/>
        <w:spacing w:line="360" w:lineRule="auto"/>
        <w:jc w:val="both"/>
        <w:rPr>
          <w:rFonts w:ascii="宋体" w:hAnsi="宋体"/>
          <w:sz w:val="24"/>
        </w:rPr>
      </w:pPr>
      <w:r>
        <w:rPr>
          <w:rFonts w:hint="eastAsia" w:ascii="宋体" w:hAnsi="宋体"/>
          <w:b/>
          <w:bCs/>
          <w:sz w:val="24"/>
        </w:rPr>
        <w:t xml:space="preserve">1.4 </w:t>
      </w:r>
      <w:r>
        <w:rPr>
          <w:rFonts w:hint="eastAsia" w:ascii="宋体" w:hAnsi="宋体"/>
          <w:sz w:val="24"/>
        </w:rPr>
        <w:t>采购项目资金落实情况:自筹资金，已落实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rPr>
          <w:rFonts w:hint="eastAsia" w:ascii="宋体" w:hAnsi="宋体"/>
          <w:sz w:val="24"/>
        </w:rPr>
      </w:pPr>
      <w:r>
        <w:rPr>
          <w:rFonts w:hint="eastAsia" w:ascii="宋体" w:hAnsi="宋体"/>
          <w:b/>
          <w:bCs/>
          <w:sz w:val="24"/>
        </w:rPr>
        <w:t xml:space="preserve">1.5 </w:t>
      </w:r>
      <w:r>
        <w:rPr>
          <w:rFonts w:hint="eastAsia" w:ascii="宋体" w:hAnsi="宋体"/>
          <w:sz w:val="24"/>
        </w:rPr>
        <w:t>采购项目概况:</w:t>
      </w:r>
    </w:p>
    <w:p>
      <w:pPr>
        <w:autoSpaceDE w:val="0"/>
        <w:spacing w:line="360" w:lineRule="auto"/>
        <w:ind w:firstLine="420" w:firstLineChars="0"/>
        <w:jc w:val="both"/>
        <w:rPr>
          <w:rFonts w:hint="eastAsia" w:ascii="宋体" w:hAnsi="宋体" w:cs="Times New Roman"/>
          <w:sz w:val="24"/>
          <w:lang w:eastAsia="zh-CN"/>
        </w:rPr>
      </w:pPr>
      <w:r>
        <w:rPr>
          <w:rFonts w:hint="eastAsia" w:ascii="宋体" w:hAnsi="宋体" w:cs="Times New Roman"/>
          <w:sz w:val="24"/>
          <w:lang w:val="en-US" w:eastAsia="zh-CN"/>
        </w:rPr>
        <w:t>1）</w:t>
      </w:r>
      <w:r>
        <w:rPr>
          <w:rFonts w:hint="eastAsia" w:ascii="宋体" w:hAnsi="宋体" w:cs="Times New Roman"/>
          <w:sz w:val="24"/>
        </w:rPr>
        <w:t>对堆场内轨道梁边两条排水沟总约计236m,废旧砼盖板（长0.61m*宽0.58m*厚0.16m），约计407块进行拆除、沟内渣石清理后并外运出港。重新分段实施制安排水沟钢筋砼预制盖板与现浇钢筋砼盖板</w:t>
      </w:r>
      <w:r>
        <w:rPr>
          <w:rFonts w:hint="eastAsia" w:ascii="宋体" w:hAnsi="宋体" w:cs="Times New Roman"/>
          <w:sz w:val="24"/>
          <w:lang w:eastAsia="zh-CN"/>
        </w:rPr>
        <w:t>。</w:t>
      </w:r>
    </w:p>
    <w:p>
      <w:pPr>
        <w:autoSpaceDE w:val="0"/>
        <w:spacing w:line="360" w:lineRule="auto"/>
        <w:ind w:firstLine="420" w:firstLineChars="0"/>
        <w:jc w:val="both"/>
        <w:rPr>
          <w:rFonts w:hint="eastAsia" w:ascii="宋体" w:hAnsi="宋体" w:cs="Times New Roman"/>
          <w:sz w:val="24"/>
          <w:lang w:val="en-US" w:eastAsia="zh-CN"/>
        </w:rPr>
      </w:pPr>
      <w:r>
        <w:rPr>
          <w:rFonts w:hint="eastAsia" w:ascii="宋体" w:hAnsi="宋体" w:cs="Times New Roman"/>
          <w:sz w:val="24"/>
          <w:lang w:val="en-US" w:eastAsia="zh-CN"/>
        </w:rPr>
        <w:t>2）对排水沟边货场地面下沉破损位置进行维修面积约计150㎡，（地面破除、渣石清理外运、地面铺设Φ8mm后重新浇注砼）。</w:t>
      </w:r>
    </w:p>
    <w:p>
      <w:pPr>
        <w:pStyle w:val="4"/>
        <w:spacing w:line="360" w:lineRule="auto"/>
        <w:ind w:firstLine="482" w:firstLineChars="200"/>
        <w:jc w:val="both"/>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3）施工图请联系采购人获取</w:t>
      </w:r>
      <w:bookmarkStart w:id="49" w:name="_GoBack"/>
      <w:bookmarkEnd w:id="49"/>
      <w:r>
        <w:rPr>
          <w:rFonts w:hint="eastAsia" w:ascii="宋体" w:hAnsi="宋体" w:eastAsia="宋体" w:cs="Times New Roman"/>
          <w:b/>
          <w:bCs/>
          <w:kern w:val="2"/>
          <w:sz w:val="24"/>
          <w:szCs w:val="24"/>
          <w:lang w:val="en-US" w:eastAsia="zh-CN" w:bidi="ar-SA"/>
        </w:rPr>
        <w:t>。</w:t>
      </w:r>
    </w:p>
    <w:p>
      <w:pPr>
        <w:pStyle w:val="8"/>
        <w:spacing w:line="360" w:lineRule="auto"/>
        <w:jc w:val="both"/>
        <w:rPr>
          <w:rFonts w:ascii="Arial" w:hAnsi="Arial"/>
        </w:rPr>
      </w:pPr>
      <w:r>
        <w:t xml:space="preserve">2 </w:t>
      </w:r>
      <w:r>
        <w:rPr>
          <w:rFonts w:hint="eastAsia" w:ascii="黑体" w:hAnsi="黑体"/>
        </w:rPr>
        <w:t xml:space="preserve">采购范围及相关要求 </w:t>
      </w:r>
    </w:p>
    <w:p>
      <w:pPr>
        <w:autoSpaceDE w:val="0"/>
        <w:spacing w:line="360" w:lineRule="auto"/>
        <w:jc w:val="both"/>
        <w:rPr>
          <w:rFonts w:hint="eastAsia" w:ascii="宋体" w:hAnsi="宋体"/>
          <w:sz w:val="24"/>
        </w:rPr>
      </w:pPr>
      <w:r>
        <w:rPr>
          <w:rFonts w:hint="eastAsia" w:ascii="宋体" w:hAnsi="宋体"/>
          <w:b/>
          <w:bCs/>
          <w:sz w:val="24"/>
        </w:rPr>
        <w:t>2.1</w:t>
      </w:r>
      <w:r>
        <w:rPr>
          <w:rFonts w:hint="eastAsia" w:ascii="宋体" w:hAnsi="宋体"/>
          <w:sz w:val="24"/>
        </w:rPr>
        <w:t xml:space="preserve"> 采购范围: </w:t>
      </w:r>
    </w:p>
    <w:p>
      <w:pPr>
        <w:pStyle w:val="3"/>
        <w:spacing w:line="360" w:lineRule="auto"/>
        <w:ind w:firstLine="420"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1）排水沟砼盖板改造</w:t>
      </w:r>
    </w:p>
    <w:p>
      <w:pPr>
        <w:pStyle w:val="4"/>
        <w:spacing w:line="360" w:lineRule="auto"/>
        <w:ind w:firstLine="420" w:firstLineChars="0"/>
        <w:rPr>
          <w:rFonts w:hint="default"/>
          <w:lang w:val="en-US" w:eastAsia="zh-CN"/>
        </w:rPr>
      </w:pPr>
      <w:r>
        <w:rPr>
          <w:rFonts w:hint="eastAsia" w:ascii="宋体" w:hAnsi="宋体" w:eastAsia="宋体" w:cs="Times New Roman"/>
          <w:kern w:val="2"/>
          <w:sz w:val="24"/>
          <w:szCs w:val="24"/>
          <w:lang w:val="en-US" w:eastAsia="zh-CN" w:bidi="ar-SA"/>
        </w:rPr>
        <w:t>2）对排水沟货场地面下沉破损位置进行维修</w:t>
      </w:r>
    </w:p>
    <w:p>
      <w:pPr>
        <w:autoSpaceDE w:val="0"/>
        <w:spacing w:line="360" w:lineRule="auto"/>
        <w:ind w:firstLine="420" w:firstLineChars="0"/>
        <w:jc w:val="both"/>
        <w:rPr>
          <w:rFonts w:hint="eastAsia" w:ascii="宋体" w:hAnsi="宋体" w:cs="Times New Roman"/>
          <w:sz w:val="24"/>
          <w:lang w:val="en-US" w:eastAsia="zh-CN"/>
        </w:rPr>
      </w:pPr>
      <w:r>
        <w:rPr>
          <w:rFonts w:hint="eastAsia" w:ascii="宋体" w:hAnsi="宋体" w:cs="Times New Roman"/>
          <w:sz w:val="24"/>
          <w:lang w:val="en-US" w:eastAsia="zh-CN"/>
        </w:rPr>
        <w:t>3）工程承包方式：包工包料（含税 3%），按施工设计方案图纸进行施工。</w:t>
      </w:r>
    </w:p>
    <w:p>
      <w:pPr>
        <w:autoSpaceDE w:val="0"/>
        <w:spacing w:line="360" w:lineRule="auto"/>
        <w:jc w:val="both"/>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2.2</w:t>
      </w:r>
      <w:r>
        <w:rPr>
          <w:rFonts w:hint="eastAsia" w:asciiTheme="minorEastAsia" w:hAnsiTheme="minorEastAsia" w:eastAsiaTheme="minorEastAsia" w:cstheme="minorEastAsia"/>
          <w:sz w:val="24"/>
        </w:rPr>
        <w:t xml:space="preserve"> 计划工期:合同签订，进场施工25天完成，下雨顺延 。 </w:t>
      </w:r>
    </w:p>
    <w:p>
      <w:pPr>
        <w:autoSpaceDE w:val="0"/>
        <w:spacing w:line="360" w:lineRule="auto"/>
        <w:jc w:val="both"/>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b/>
          <w:bCs/>
          <w:sz w:val="24"/>
        </w:rPr>
        <w:t>2.3</w:t>
      </w:r>
      <w:r>
        <w:rPr>
          <w:rFonts w:hint="eastAsia" w:asciiTheme="minorEastAsia" w:hAnsiTheme="minorEastAsia" w:eastAsiaTheme="minorEastAsia" w:cstheme="minorEastAsia"/>
          <w:sz w:val="24"/>
        </w:rPr>
        <w:t xml:space="preserve"> 建设地点: </w:t>
      </w:r>
      <w:r>
        <w:rPr>
          <w:rFonts w:hint="eastAsia" w:asciiTheme="minorEastAsia" w:hAnsiTheme="minorEastAsia" w:eastAsiaTheme="minorEastAsia" w:cstheme="minorEastAsia"/>
          <w:sz w:val="24"/>
          <w:lang w:val="en-US" w:eastAsia="zh-CN"/>
        </w:rPr>
        <w:t>城陵矶新港6#堆场</w:t>
      </w:r>
    </w:p>
    <w:p>
      <w:pPr>
        <w:autoSpaceDE w:val="0"/>
        <w:spacing w:line="360" w:lineRule="auto"/>
        <w:jc w:val="both"/>
        <w:rPr>
          <w:rFonts w:ascii="宋体" w:hAnsi="宋体"/>
          <w:sz w:val="24"/>
        </w:rPr>
      </w:pPr>
      <w:r>
        <w:rPr>
          <w:rFonts w:hint="eastAsia" w:ascii="宋体" w:hAnsi="宋体"/>
          <w:b/>
          <w:bCs/>
          <w:sz w:val="24"/>
        </w:rPr>
        <w:t xml:space="preserve">2.4 </w:t>
      </w:r>
      <w:r>
        <w:rPr>
          <w:rFonts w:hint="eastAsia" w:ascii="宋体" w:hAnsi="宋体"/>
          <w:sz w:val="24"/>
        </w:rPr>
        <w:t>质量要求:</w:t>
      </w:r>
    </w:p>
    <w:p>
      <w:pPr>
        <w:pStyle w:val="4"/>
        <w:spacing w:line="360" w:lineRule="auto"/>
        <w:ind w:firstLine="420"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为确保工程质量与施工进度，严格按照施工图进行施工，预制现浇钢筋砼盖板与地面钢筋（材质为一级）捆扎牢固、砼（为C40商品砼）振捣密实、外形美观平整、砼表面无裂缝，盖板安装确保平整无晃动与原砼地坪标一致。</w:t>
      </w:r>
    </w:p>
    <w:p>
      <w:pPr>
        <w:pStyle w:val="4"/>
        <w:spacing w:line="360" w:lineRule="auto"/>
        <w:ind w:firstLine="420"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2）对工程所用的主要材料需要提供有效材质质量合格证书与质检合格报告证书，隐蔽工程完工后，必须有甲方现场人员签证认可后，才进行下道工序。</w:t>
      </w:r>
    </w:p>
    <w:p>
      <w:pPr>
        <w:pStyle w:val="4"/>
        <w:spacing w:line="360" w:lineRule="auto"/>
        <w:ind w:firstLine="420"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3）工程质量目标，对工程进度、工程质量、隐蔽工程，按照现行的施工验收规范及质量验收评定标准执行，钢筋笼制安捆扎牢固、模板制作无缝隙、砼浇筑振动密实，无蜂窝狗洞现象，质量标准为优良。</w:t>
      </w:r>
    </w:p>
    <w:p>
      <w:pPr>
        <w:autoSpaceDE w:val="0"/>
        <w:spacing w:line="360" w:lineRule="auto"/>
        <w:jc w:val="both"/>
        <w:rPr>
          <w:rFonts w:ascii="宋体" w:hAnsi="宋体"/>
          <w:sz w:val="24"/>
        </w:rPr>
      </w:pPr>
      <w:r>
        <w:rPr>
          <w:rFonts w:hint="eastAsia" w:ascii="宋体" w:hAnsi="宋体"/>
          <w:b/>
          <w:bCs/>
          <w:sz w:val="24"/>
        </w:rPr>
        <w:t xml:space="preserve">2.5 </w:t>
      </w:r>
      <w:r>
        <w:rPr>
          <w:rFonts w:hint="eastAsia" w:ascii="宋体" w:hAnsi="宋体"/>
          <w:sz w:val="24"/>
        </w:rPr>
        <w:t>安全目标: 无安全事故。</w:t>
      </w:r>
    </w:p>
    <w:p>
      <w:pPr>
        <w:pStyle w:val="8"/>
        <w:spacing w:line="360" w:lineRule="auto"/>
        <w:jc w:val="both"/>
        <w:rPr>
          <w:rFonts w:ascii="Arial" w:hAnsi="Arial"/>
        </w:rPr>
      </w:pPr>
      <w:r>
        <w:rPr>
          <w:rFonts w:hint="eastAsia"/>
        </w:rPr>
        <w:t xml:space="preserve">3 </w:t>
      </w:r>
      <w:r>
        <w:rPr>
          <w:rFonts w:hint="eastAsia" w:ascii="黑体" w:hAnsi="黑体"/>
        </w:rPr>
        <w:t>供应商资格要求</w:t>
      </w:r>
    </w:p>
    <w:p>
      <w:pPr>
        <w:autoSpaceDE w:val="0"/>
        <w:spacing w:line="360" w:lineRule="auto"/>
        <w:ind w:firstLine="241" w:firstLineChars="100"/>
        <w:jc w:val="both"/>
        <w:rPr>
          <w:rFonts w:ascii="宋体" w:hAnsi="宋体"/>
          <w:sz w:val="24"/>
        </w:rPr>
      </w:pPr>
      <w:r>
        <w:rPr>
          <w:rFonts w:hint="eastAsia" w:ascii="宋体" w:hAnsi="宋体"/>
          <w:b/>
          <w:bCs/>
          <w:sz w:val="24"/>
        </w:rPr>
        <w:t>3.1</w:t>
      </w:r>
      <w:r>
        <w:rPr>
          <w:rFonts w:hint="eastAsia" w:ascii="宋体" w:hAnsi="宋体"/>
          <w:sz w:val="24"/>
        </w:rPr>
        <w:t>供应商不得存在下列情形之一:</w:t>
      </w:r>
    </w:p>
    <w:p>
      <w:pPr>
        <w:autoSpaceDE w:val="0"/>
        <w:spacing w:line="360" w:lineRule="auto"/>
        <w:ind w:firstLine="240" w:firstLineChars="100"/>
        <w:jc w:val="both"/>
        <w:rPr>
          <w:rFonts w:ascii="宋体" w:hAnsi="宋体"/>
          <w:sz w:val="24"/>
        </w:rPr>
      </w:pPr>
      <w:r>
        <w:rPr>
          <w:rFonts w:hint="eastAsia" w:ascii="宋体" w:hAnsi="宋体"/>
          <w:sz w:val="24"/>
        </w:rPr>
        <w:t>（1）处于被责令停产停业、暂扣或者吊销执照、暂扣或者吊销许可证、吊销资质证书状态;</w:t>
      </w:r>
    </w:p>
    <w:p>
      <w:pPr>
        <w:autoSpaceDE w:val="0"/>
        <w:spacing w:line="360" w:lineRule="auto"/>
        <w:ind w:firstLine="240" w:firstLineChars="100"/>
        <w:jc w:val="both"/>
        <w:rPr>
          <w:rFonts w:ascii="宋体" w:hAnsi="宋体"/>
          <w:sz w:val="24"/>
        </w:rPr>
      </w:pPr>
      <w:r>
        <w:rPr>
          <w:rFonts w:hint="eastAsia" w:ascii="宋体" w:hAnsi="宋体"/>
          <w:sz w:val="24"/>
        </w:rPr>
        <w:t>（2）进入清算程序，或被宣告破产，或其他丧失履约能力的情形;</w:t>
      </w:r>
    </w:p>
    <w:p>
      <w:pPr>
        <w:autoSpaceDE w:val="0"/>
        <w:spacing w:line="360" w:lineRule="auto"/>
        <w:ind w:firstLine="240" w:firstLineChars="100"/>
        <w:jc w:val="both"/>
        <w:rPr>
          <w:rFonts w:ascii="宋体" w:hAnsi="宋体"/>
          <w:sz w:val="24"/>
        </w:rPr>
      </w:pPr>
      <w:r>
        <w:rPr>
          <w:rFonts w:hint="eastAsia" w:ascii="宋体" w:hAnsi="宋体"/>
          <w:sz w:val="24"/>
        </w:rPr>
        <w:t>（3）被采购人或采购人上级单位纳入黑名单</w:t>
      </w:r>
    </w:p>
    <w:p>
      <w:pPr>
        <w:autoSpaceDE w:val="0"/>
        <w:spacing w:line="360" w:lineRule="auto"/>
        <w:jc w:val="both"/>
        <w:rPr>
          <w:rFonts w:ascii="宋体" w:hAnsi="宋体"/>
          <w:sz w:val="24"/>
        </w:rPr>
      </w:pPr>
      <w:r>
        <w:rPr>
          <w:rFonts w:hint="eastAsia" w:ascii="宋体" w:hAnsi="宋体"/>
          <w:sz w:val="24"/>
        </w:rPr>
        <w:t>3.2供应商应满足如下要求:</w:t>
      </w:r>
    </w:p>
    <w:tbl>
      <w:tblPr>
        <w:tblStyle w:val="17"/>
        <w:tblpPr w:leftFromText="180" w:rightFromText="180" w:vertAnchor="text" w:horzAnchor="margin" w:tblpY="216"/>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1941"/>
        <w:gridCol w:w="5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149" w:type="dxa"/>
          </w:tcPr>
          <w:p>
            <w:pPr>
              <w:widowControl w:val="0"/>
              <w:spacing w:line="360" w:lineRule="auto"/>
              <w:jc w:val="center"/>
              <w:rPr>
                <w:rFonts w:ascii="宋体" w:hAnsi="宋体"/>
                <w:sz w:val="24"/>
              </w:rPr>
            </w:pPr>
            <w:r>
              <w:rPr>
                <w:rFonts w:hint="eastAsia" w:ascii="宋体" w:hAnsi="宋体"/>
                <w:sz w:val="24"/>
              </w:rPr>
              <w:t>资格条件</w:t>
            </w:r>
          </w:p>
        </w:tc>
        <w:tc>
          <w:tcPr>
            <w:tcW w:w="1941" w:type="dxa"/>
          </w:tcPr>
          <w:p>
            <w:pPr>
              <w:widowControl w:val="0"/>
              <w:spacing w:line="360" w:lineRule="auto"/>
              <w:jc w:val="center"/>
              <w:rPr>
                <w:rFonts w:ascii="宋体" w:hAnsi="宋体"/>
                <w:sz w:val="24"/>
              </w:rPr>
            </w:pPr>
            <w:r>
              <w:rPr>
                <w:rFonts w:hint="eastAsia" w:ascii="宋体" w:hAnsi="宋体"/>
                <w:sz w:val="24"/>
              </w:rPr>
              <w:t>对供应商要求</w:t>
            </w:r>
          </w:p>
        </w:tc>
        <w:tc>
          <w:tcPr>
            <w:tcW w:w="5008" w:type="dxa"/>
          </w:tcPr>
          <w:p>
            <w:pPr>
              <w:widowControl w:val="0"/>
              <w:spacing w:line="360" w:lineRule="auto"/>
              <w:jc w:val="center"/>
              <w:rPr>
                <w:rFonts w:ascii="宋体" w:hAnsi="宋体"/>
                <w:sz w:val="24"/>
              </w:rPr>
            </w:pPr>
            <w:r>
              <w:rPr>
                <w:rFonts w:hint="eastAsia" w:ascii="宋体" w:hAnsi="宋体"/>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49" w:type="dxa"/>
          </w:tcPr>
          <w:p>
            <w:pPr>
              <w:widowControl w:val="0"/>
              <w:spacing w:line="360" w:lineRule="auto"/>
              <w:jc w:val="both"/>
              <w:rPr>
                <w:rFonts w:ascii="宋体" w:hAnsi="宋体"/>
                <w:sz w:val="24"/>
              </w:rPr>
            </w:pPr>
            <w:r>
              <w:rPr>
                <w:rFonts w:hint="eastAsia" w:ascii="宋体" w:hAnsi="宋体"/>
                <w:sz w:val="24"/>
              </w:rPr>
              <w:t>（1）依法设立</w:t>
            </w:r>
          </w:p>
        </w:tc>
        <w:tc>
          <w:tcPr>
            <w:tcW w:w="1941" w:type="dxa"/>
          </w:tcPr>
          <w:p>
            <w:pPr>
              <w:widowControl w:val="0"/>
              <w:spacing w:line="360" w:lineRule="auto"/>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60" w:lineRule="auto"/>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49" w:type="dxa"/>
          </w:tcPr>
          <w:p>
            <w:pPr>
              <w:widowControl w:val="0"/>
              <w:spacing w:line="360" w:lineRule="auto"/>
              <w:jc w:val="both"/>
              <w:rPr>
                <w:rFonts w:ascii="宋体" w:hAnsi="宋体"/>
                <w:sz w:val="24"/>
              </w:rPr>
            </w:pPr>
            <w:r>
              <w:rPr>
                <w:rFonts w:hint="eastAsia" w:ascii="宋体" w:hAnsi="宋体"/>
                <w:sz w:val="24"/>
              </w:rPr>
              <w:t>（2）资质要求</w:t>
            </w:r>
          </w:p>
        </w:tc>
        <w:tc>
          <w:tcPr>
            <w:tcW w:w="1941" w:type="dxa"/>
          </w:tcPr>
          <w:p>
            <w:pPr>
              <w:widowControl w:val="0"/>
              <w:spacing w:line="360" w:lineRule="auto"/>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60" w:lineRule="auto"/>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49" w:type="dxa"/>
          </w:tcPr>
          <w:p>
            <w:pPr>
              <w:widowControl w:val="0"/>
              <w:spacing w:line="360" w:lineRule="auto"/>
              <w:jc w:val="both"/>
              <w:rPr>
                <w:rFonts w:ascii="宋体" w:hAnsi="宋体"/>
                <w:color w:val="FF0000"/>
                <w:sz w:val="24"/>
              </w:rPr>
            </w:pPr>
            <w:r>
              <w:rPr>
                <w:rFonts w:hint="eastAsia" w:ascii="宋体" w:hAnsi="宋体"/>
                <w:sz w:val="24"/>
              </w:rPr>
              <w:t>（3）财务要求</w:t>
            </w:r>
          </w:p>
        </w:tc>
        <w:tc>
          <w:tcPr>
            <w:tcW w:w="1941" w:type="dxa"/>
          </w:tcPr>
          <w:p>
            <w:pPr>
              <w:widowControl w:val="0"/>
              <w:spacing w:line="360" w:lineRule="auto"/>
              <w:jc w:val="both"/>
              <w:rPr>
                <w:rFonts w:ascii="宋体" w:hAnsi="宋体"/>
                <w:color w:val="FF0000"/>
                <w:sz w:val="24"/>
              </w:rPr>
            </w:pPr>
            <w:r>
              <w:rPr>
                <w:rStyle w:val="19"/>
                <w:rFonts w:hint="eastAsia"/>
                <w:u w:val="single"/>
              </w:rPr>
              <w:sym w:font="Wingdings 2" w:char="0052"/>
            </w:r>
            <w:r>
              <w:rPr>
                <w:rStyle w:val="19"/>
                <w:rFonts w:hint="eastAsia"/>
                <w:u w:val="single"/>
              </w:rPr>
              <w:t xml:space="preserve">不适用  </w:t>
            </w:r>
          </w:p>
        </w:tc>
        <w:tc>
          <w:tcPr>
            <w:tcW w:w="5008" w:type="dxa"/>
          </w:tcPr>
          <w:p>
            <w:pPr>
              <w:widowControl w:val="0"/>
              <w:spacing w:line="360" w:lineRule="auto"/>
              <w:jc w:val="both"/>
              <w:rPr>
                <w:rFonts w:ascii="宋体" w:hAnsi="宋体"/>
                <w:color w:val="FF0000"/>
                <w:sz w:val="24"/>
              </w:rPr>
            </w:pPr>
            <w:r>
              <w:rPr>
                <w:rStyle w:val="19"/>
                <w:rFonts w:hint="eastAsia"/>
                <w:u w:val="single"/>
              </w:rPr>
              <w:sym w:font="Wingdings 2" w:char="0052"/>
            </w:r>
            <w:r>
              <w:rPr>
                <w:rStyle w:val="19"/>
                <w:rFonts w:hint="eastAsia"/>
                <w:u w:val="singl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49" w:type="dxa"/>
          </w:tcPr>
          <w:p>
            <w:pPr>
              <w:widowControl w:val="0"/>
              <w:spacing w:line="360" w:lineRule="auto"/>
              <w:jc w:val="both"/>
              <w:rPr>
                <w:rFonts w:ascii="宋体" w:hAnsi="宋体"/>
                <w:sz w:val="24"/>
              </w:rPr>
            </w:pPr>
            <w:r>
              <w:rPr>
                <w:rFonts w:hint="eastAsia" w:ascii="宋体" w:hAnsi="宋体"/>
                <w:sz w:val="24"/>
              </w:rPr>
              <w:t>（4）业绩要求</w:t>
            </w:r>
          </w:p>
        </w:tc>
        <w:tc>
          <w:tcPr>
            <w:tcW w:w="1941" w:type="dxa"/>
          </w:tcPr>
          <w:p>
            <w:pPr>
              <w:widowControl w:val="0"/>
              <w:spacing w:line="360" w:lineRule="auto"/>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60" w:lineRule="auto"/>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49" w:type="dxa"/>
          </w:tcPr>
          <w:p>
            <w:pPr>
              <w:widowControl w:val="0"/>
              <w:spacing w:line="360" w:lineRule="auto"/>
              <w:jc w:val="both"/>
              <w:rPr>
                <w:rFonts w:ascii="宋体" w:hAnsi="宋体"/>
                <w:sz w:val="24"/>
              </w:rPr>
            </w:pPr>
            <w:r>
              <w:rPr>
                <w:rFonts w:hint="eastAsia" w:ascii="宋体" w:hAnsi="宋体"/>
                <w:sz w:val="24"/>
              </w:rPr>
              <w:t>（5）信誉要求</w:t>
            </w:r>
          </w:p>
        </w:tc>
        <w:tc>
          <w:tcPr>
            <w:tcW w:w="1941" w:type="dxa"/>
          </w:tcPr>
          <w:p>
            <w:pPr>
              <w:widowControl w:val="0"/>
              <w:spacing w:line="360" w:lineRule="auto"/>
              <w:jc w:val="both"/>
              <w:rPr>
                <w:rFonts w:ascii="宋体" w:hAnsi="宋体"/>
                <w:sz w:val="24"/>
              </w:rPr>
            </w:pPr>
            <w:r>
              <w:rPr>
                <w:rStyle w:val="19"/>
                <w:rFonts w:hint="eastAsia"/>
                <w:u w:val="single"/>
              </w:rPr>
              <w:sym w:font="Wingdings 2" w:char="0052"/>
            </w:r>
            <w:r>
              <w:rPr>
                <w:rStyle w:val="19"/>
                <w:rFonts w:hint="eastAsia"/>
                <w:u w:val="single"/>
              </w:rPr>
              <w:t xml:space="preserve">适用  </w:t>
            </w:r>
          </w:p>
        </w:tc>
        <w:tc>
          <w:tcPr>
            <w:tcW w:w="5008" w:type="dxa"/>
          </w:tcPr>
          <w:p>
            <w:pPr>
              <w:widowControl w:val="0"/>
              <w:spacing w:line="360" w:lineRule="auto"/>
              <w:jc w:val="both"/>
              <w:rPr>
                <w:rFonts w:ascii="宋体" w:hAnsi="宋体"/>
                <w:sz w:val="24"/>
              </w:rPr>
            </w:pPr>
            <w:r>
              <w:rPr>
                <w:rStyle w:val="19"/>
                <w:rFonts w:hint="eastAsia"/>
                <w:u w:val="single"/>
              </w:rPr>
              <w:sym w:font="Wingdings 2" w:char="0052"/>
            </w:r>
            <w:r>
              <w:rPr>
                <w:rStyle w:val="19"/>
                <w:rFonts w:hint="eastAsia"/>
                <w:u w:val="single"/>
              </w:rPr>
              <w:t>适用</w:t>
            </w:r>
            <w:r>
              <w:rPr>
                <w:rStyle w:val="19"/>
                <w:rFonts w:hint="eastAsia"/>
                <w:u w:val="single"/>
                <w:lang w:eastAsia="zh-CN"/>
              </w:rPr>
              <w:t>，</w:t>
            </w:r>
            <w:r>
              <w:rPr>
                <w:rStyle w:val="19"/>
                <w:rFonts w:hint="eastAsia"/>
                <w:u w:val="single"/>
              </w:rPr>
              <w:t>见采购文件供应商须知前附表3.5（</w:t>
            </w:r>
            <w:r>
              <w:rPr>
                <w:rStyle w:val="19"/>
                <w:rFonts w:hint="eastAsia"/>
                <w:u w:val="single"/>
                <w:lang w:val="en-US" w:eastAsia="zh-CN"/>
              </w:rPr>
              <w:t>5</w:t>
            </w:r>
            <w:r>
              <w:rPr>
                <w:rStyle w:val="19"/>
                <w:rFonts w:hint="eastAsia"/>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149" w:type="dxa"/>
          </w:tcPr>
          <w:p>
            <w:pPr>
              <w:widowControl w:val="0"/>
              <w:spacing w:line="360" w:lineRule="auto"/>
              <w:jc w:val="both"/>
              <w:rPr>
                <w:rFonts w:ascii="宋体" w:hAnsi="宋体"/>
                <w:sz w:val="24"/>
              </w:rPr>
            </w:pPr>
            <w:r>
              <w:rPr>
                <w:rFonts w:hint="eastAsia" w:ascii="宋体" w:hAnsi="宋体"/>
                <w:sz w:val="24"/>
              </w:rPr>
              <w:t>（6）承担本项目的主要人员要求</w:t>
            </w:r>
          </w:p>
        </w:tc>
        <w:tc>
          <w:tcPr>
            <w:tcW w:w="1941" w:type="dxa"/>
          </w:tcPr>
          <w:p>
            <w:pPr>
              <w:widowControl w:val="0"/>
              <w:spacing w:line="360" w:lineRule="auto"/>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60" w:lineRule="auto"/>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149" w:type="dxa"/>
          </w:tcPr>
          <w:p>
            <w:pPr>
              <w:widowControl w:val="0"/>
              <w:spacing w:line="360" w:lineRule="auto"/>
              <w:jc w:val="both"/>
              <w:rPr>
                <w:rFonts w:ascii="宋体" w:hAnsi="宋体"/>
                <w:sz w:val="24"/>
              </w:rPr>
            </w:pPr>
            <w:r>
              <w:rPr>
                <w:rFonts w:hint="eastAsia" w:ascii="宋体" w:hAnsi="宋体"/>
                <w:sz w:val="24"/>
              </w:rPr>
              <w:t>（8）供应商不存在第一章3.1款情形的证明材料</w:t>
            </w:r>
          </w:p>
        </w:tc>
        <w:tc>
          <w:tcPr>
            <w:tcW w:w="1941" w:type="dxa"/>
          </w:tcPr>
          <w:p>
            <w:pPr>
              <w:widowControl w:val="0"/>
              <w:spacing w:line="360" w:lineRule="auto"/>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60" w:lineRule="auto"/>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适用,见采购文件供应商须知前附表3.5（8）。</w:t>
            </w:r>
          </w:p>
        </w:tc>
      </w:tr>
    </w:tbl>
    <w:p>
      <w:pPr>
        <w:pStyle w:val="2"/>
        <w:spacing w:line="360" w:lineRule="auto"/>
        <w:ind w:firstLine="0"/>
      </w:pPr>
    </w:p>
    <w:p>
      <w:pPr>
        <w:pStyle w:val="8"/>
        <w:spacing w:line="360" w:lineRule="auto"/>
        <w:jc w:val="both"/>
        <w:rPr>
          <w:rFonts w:ascii="黑体" w:hAnsi="黑体"/>
        </w:rPr>
      </w:pPr>
      <w:r>
        <w:rPr>
          <w:rFonts w:hint="eastAsia"/>
        </w:rPr>
        <w:t xml:space="preserve">4 </w:t>
      </w:r>
      <w:r>
        <w:rPr>
          <w:rFonts w:hint="eastAsia" w:ascii="黑体" w:hAnsi="黑体"/>
        </w:rPr>
        <w:t>响应保证金</w:t>
      </w:r>
    </w:p>
    <w:tbl>
      <w:tblPr>
        <w:tblStyle w:val="17"/>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331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738" w:type="dxa"/>
          </w:tcPr>
          <w:p>
            <w:pPr>
              <w:widowControl w:val="0"/>
              <w:autoSpaceDE w:val="0"/>
              <w:spacing w:line="360" w:lineRule="auto"/>
              <w:jc w:val="both"/>
              <w:rPr>
                <w:rFonts w:ascii="宋体" w:hAnsi="宋体"/>
                <w:sz w:val="24"/>
              </w:rPr>
            </w:pPr>
            <w:r>
              <w:rPr>
                <w:rFonts w:hint="eastAsia" w:ascii="宋体" w:hAnsi="宋体"/>
                <w:sz w:val="24"/>
              </w:rPr>
              <w:t>响应保证金的递交</w:t>
            </w:r>
          </w:p>
        </w:tc>
        <w:tc>
          <w:tcPr>
            <w:tcW w:w="3314" w:type="dxa"/>
          </w:tcPr>
          <w:p>
            <w:pPr>
              <w:widowControl w:val="0"/>
              <w:autoSpaceDE w:val="0"/>
              <w:spacing w:line="360" w:lineRule="auto"/>
              <w:jc w:val="both"/>
              <w:rPr>
                <w:rFonts w:ascii="黑体" w:hAnsi="黑体"/>
              </w:rPr>
            </w:pPr>
            <w:r>
              <w:rPr>
                <w:rFonts w:hint="eastAsia" w:ascii="宋体" w:hAnsi="宋体"/>
                <w:sz w:val="24"/>
              </w:rPr>
              <w:t>不退还响应保证金的其他情形</w:t>
            </w:r>
          </w:p>
        </w:tc>
        <w:tc>
          <w:tcPr>
            <w:tcW w:w="3046" w:type="dxa"/>
          </w:tcPr>
          <w:p>
            <w:pPr>
              <w:widowControl w:val="0"/>
              <w:autoSpaceDE w:val="0"/>
              <w:spacing w:line="360" w:lineRule="auto"/>
              <w:jc w:val="both"/>
              <w:rPr>
                <w:rFonts w:ascii="黑体" w:hAnsi="黑体"/>
              </w:rPr>
            </w:pPr>
            <w:r>
              <w:rPr>
                <w:rFonts w:hint="eastAsia" w:ascii="宋体" w:hAnsi="宋体"/>
                <w:sz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738" w:type="dxa"/>
          </w:tcPr>
          <w:p>
            <w:pPr>
              <w:widowControl w:val="0"/>
              <w:autoSpaceDE w:val="0"/>
              <w:spacing w:line="360" w:lineRule="auto"/>
              <w:jc w:val="both"/>
              <w:rPr>
                <w:rFonts w:ascii="宋体" w:hAnsi="宋体"/>
                <w:sz w:val="24"/>
              </w:rPr>
            </w:pPr>
            <w:r>
              <w:rPr>
                <w:rStyle w:val="19"/>
                <w:rFonts w:hint="eastAsia"/>
              </w:rPr>
              <w:t>☑</w:t>
            </w:r>
            <w:r>
              <w:rPr>
                <w:rFonts w:hint="eastAsia" w:ascii="宋体" w:hAnsi="宋体"/>
                <w:sz w:val="24"/>
              </w:rPr>
              <w:t>不要求递交</w:t>
            </w:r>
          </w:p>
        </w:tc>
        <w:tc>
          <w:tcPr>
            <w:tcW w:w="3314" w:type="dxa"/>
          </w:tcPr>
          <w:p>
            <w:pPr>
              <w:widowControl w:val="0"/>
              <w:autoSpaceDE w:val="0"/>
              <w:spacing w:line="360" w:lineRule="auto"/>
              <w:jc w:val="both"/>
              <w:rPr>
                <w:rFonts w:ascii="黑体" w:hAnsi="黑体"/>
              </w:rPr>
            </w:pPr>
            <w:r>
              <w:rPr>
                <w:rStyle w:val="19"/>
                <w:rFonts w:hint="eastAsia"/>
              </w:rPr>
              <w:t>☑不</w:t>
            </w:r>
            <w:r>
              <w:rPr>
                <w:rFonts w:hint="eastAsia" w:ascii="宋体" w:hAnsi="宋体"/>
                <w:sz w:val="24"/>
              </w:rPr>
              <w:t>适用</w:t>
            </w:r>
          </w:p>
        </w:tc>
        <w:tc>
          <w:tcPr>
            <w:tcW w:w="3046" w:type="dxa"/>
          </w:tcPr>
          <w:p>
            <w:pPr>
              <w:widowControl w:val="0"/>
              <w:autoSpaceDE w:val="0"/>
              <w:spacing w:line="360" w:lineRule="auto"/>
              <w:jc w:val="both"/>
              <w:rPr>
                <w:rFonts w:ascii="黑体" w:hAnsi="黑体"/>
              </w:rPr>
            </w:pPr>
            <w:r>
              <w:rPr>
                <w:rStyle w:val="19"/>
                <w:rFonts w:hint="eastAsia"/>
              </w:rPr>
              <w:t>☑</w:t>
            </w:r>
            <w:r>
              <w:rPr>
                <w:rFonts w:hint="eastAsia" w:ascii="宋体" w:hAnsi="宋体"/>
                <w:sz w:val="24"/>
              </w:rPr>
              <w:t>不适用</w:t>
            </w:r>
          </w:p>
        </w:tc>
      </w:tr>
    </w:tbl>
    <w:p>
      <w:pPr>
        <w:spacing w:line="360" w:lineRule="auto"/>
      </w:pPr>
    </w:p>
    <w:p>
      <w:pPr>
        <w:pStyle w:val="8"/>
        <w:spacing w:line="360" w:lineRule="auto"/>
        <w:jc w:val="both"/>
        <w:rPr>
          <w:rFonts w:ascii="Arial" w:hAnsi="Arial"/>
        </w:rPr>
      </w:pPr>
      <w:r>
        <w:rPr>
          <w:rFonts w:hint="eastAsia"/>
        </w:rPr>
        <w:t>5</w:t>
      </w:r>
      <w:r>
        <w:t xml:space="preserve"> </w:t>
      </w:r>
      <w:r>
        <w:rPr>
          <w:rFonts w:hint="eastAsia" w:ascii="黑体" w:hAnsi="黑体"/>
        </w:rPr>
        <w:t>确定成交供应商的方法</w:t>
      </w:r>
    </w:p>
    <w:p>
      <w:pPr>
        <w:autoSpaceDE w:val="0"/>
        <w:spacing w:line="360" w:lineRule="auto"/>
        <w:jc w:val="both"/>
        <w:rPr>
          <w:rStyle w:val="19"/>
        </w:rPr>
      </w:pPr>
      <w:r>
        <w:rPr>
          <w:rFonts w:hint="eastAsia" w:ascii="宋体" w:hAnsi="宋体"/>
          <w:b/>
          <w:bCs/>
          <w:sz w:val="24"/>
        </w:rPr>
        <w:t>（一） 最低价法</w:t>
      </w:r>
    </w:p>
    <w:p>
      <w:pPr>
        <w:autoSpaceDE w:val="0"/>
        <w:spacing w:line="360" w:lineRule="auto"/>
        <w:jc w:val="both"/>
        <w:rPr>
          <w:rFonts w:ascii="宋体" w:hAnsi="宋体"/>
          <w:sz w:val="24"/>
        </w:rPr>
      </w:pPr>
      <w:r>
        <w:rPr>
          <w:rFonts w:hint="eastAsia" w:ascii="宋体" w:hAnsi="宋体"/>
          <w:b/>
          <w:bCs/>
          <w:sz w:val="24"/>
        </w:rPr>
        <w:t>（二）</w:t>
      </w:r>
      <w:r>
        <w:rPr>
          <w:rFonts w:hint="eastAsia" w:ascii="宋体" w:hAnsi="宋体"/>
          <w:sz w:val="24"/>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8"/>
        <w:spacing w:line="360" w:lineRule="auto"/>
        <w:jc w:val="both"/>
        <w:rPr>
          <w:rFonts w:ascii="Arial" w:hAnsi="Arial"/>
        </w:rPr>
      </w:pPr>
      <w:r>
        <w:rPr>
          <w:rFonts w:hint="eastAsia"/>
        </w:rPr>
        <w:t>6</w:t>
      </w:r>
      <w:r>
        <w:rPr>
          <w:rFonts w:hint="eastAsia" w:ascii="黑体" w:hAnsi="黑体"/>
        </w:rPr>
        <w:t>采购文件获取</w:t>
      </w:r>
    </w:p>
    <w:p>
      <w:pPr>
        <w:autoSpaceDE w:val="0"/>
        <w:spacing w:line="360" w:lineRule="auto"/>
        <w:jc w:val="left"/>
        <w:rPr>
          <w:rFonts w:ascii="宋体" w:hAnsi="宋体"/>
          <w:sz w:val="24"/>
        </w:rPr>
      </w:pPr>
      <w:r>
        <w:rPr>
          <w:rFonts w:hint="eastAsia" w:ascii="宋体" w:hAnsi="宋体"/>
          <w:b/>
          <w:bCs/>
          <w:sz w:val="24"/>
        </w:rPr>
        <w:t xml:space="preserve">6.1 </w:t>
      </w:r>
      <w:r>
        <w:rPr>
          <w:rFonts w:hint="eastAsia" w:ascii="宋体" w:hAnsi="宋体"/>
          <w:sz w:val="24"/>
        </w:rPr>
        <w:t>供应商应当于</w:t>
      </w:r>
      <w:r>
        <w:rPr>
          <w:rFonts w:hint="eastAsia" w:ascii="宋体" w:hAnsi="宋体"/>
          <w:i w:val="0"/>
          <w:iCs w:val="0"/>
          <w:sz w:val="24"/>
          <w:u w:val="single"/>
          <w:lang w:val="en-US" w:eastAsia="zh-CN"/>
        </w:rPr>
        <w:t>2022</w:t>
      </w:r>
      <w:r>
        <w:rPr>
          <w:rFonts w:hint="eastAsia" w:ascii="宋体" w:hAnsi="宋体"/>
          <w:i w:val="0"/>
          <w:iCs w:val="0"/>
          <w:sz w:val="24"/>
          <w:u w:val="single"/>
        </w:rPr>
        <w:t>年</w:t>
      </w:r>
      <w:r>
        <w:rPr>
          <w:rFonts w:hint="eastAsia" w:ascii="宋体" w:hAnsi="宋体"/>
          <w:i w:val="0"/>
          <w:iCs w:val="0"/>
          <w:sz w:val="24"/>
          <w:u w:val="single"/>
          <w:lang w:val="en-US" w:eastAsia="zh-CN"/>
        </w:rPr>
        <w:t>5</w:t>
      </w:r>
      <w:r>
        <w:rPr>
          <w:rFonts w:hint="eastAsia" w:ascii="宋体" w:hAnsi="宋体"/>
          <w:i w:val="0"/>
          <w:iCs w:val="0"/>
          <w:sz w:val="24"/>
          <w:u w:val="single"/>
        </w:rPr>
        <w:t>月</w:t>
      </w:r>
      <w:r>
        <w:rPr>
          <w:rFonts w:hint="eastAsia" w:ascii="宋体" w:hAnsi="宋体"/>
          <w:i w:val="0"/>
          <w:iCs w:val="0"/>
          <w:sz w:val="24"/>
          <w:u w:val="single"/>
          <w:lang w:val="en-US" w:eastAsia="zh-CN"/>
        </w:rPr>
        <w:t>27</w:t>
      </w:r>
      <w:r>
        <w:rPr>
          <w:rFonts w:hint="eastAsia" w:ascii="宋体" w:hAnsi="宋体"/>
          <w:i w:val="0"/>
          <w:iCs w:val="0"/>
          <w:sz w:val="24"/>
          <w:u w:val="single"/>
        </w:rPr>
        <w:t>日</w:t>
      </w:r>
      <w:r>
        <w:rPr>
          <w:rFonts w:hint="eastAsia" w:ascii="宋体" w:hAnsi="宋体"/>
          <w:sz w:val="24"/>
        </w:rPr>
        <w:t>至</w:t>
      </w:r>
      <w:r>
        <w:rPr>
          <w:rFonts w:hint="eastAsia" w:ascii="宋体" w:hAnsi="宋体"/>
          <w:sz w:val="24"/>
          <w:u w:val="single"/>
          <w:lang w:val="en-US" w:eastAsia="zh-CN"/>
        </w:rPr>
        <w:t>2022</w:t>
      </w:r>
      <w:r>
        <w:rPr>
          <w:rFonts w:hint="eastAsia" w:ascii="宋体" w:hAnsi="宋体"/>
          <w:sz w:val="24"/>
          <w:u w:val="single"/>
        </w:rPr>
        <w:t>年</w:t>
      </w:r>
      <w:r>
        <w:rPr>
          <w:rFonts w:hint="eastAsia" w:ascii="宋体" w:hAnsi="宋体"/>
          <w:sz w:val="24"/>
          <w:u w:val="single"/>
          <w:lang w:val="en-US" w:eastAsia="zh-CN"/>
        </w:rPr>
        <w:t>6</w:t>
      </w:r>
      <w:r>
        <w:rPr>
          <w:rFonts w:hint="eastAsia" w:ascii="宋体" w:hAnsi="宋体"/>
          <w:sz w:val="24"/>
          <w:u w:val="single"/>
        </w:rPr>
        <w:t>月</w:t>
      </w:r>
      <w:r>
        <w:rPr>
          <w:rFonts w:hint="eastAsia" w:ascii="宋体" w:hAnsi="宋体"/>
          <w:sz w:val="24"/>
          <w:u w:val="single"/>
          <w:lang w:val="en-US" w:eastAsia="zh-CN"/>
        </w:rPr>
        <w:t>1</w:t>
      </w:r>
      <w:r>
        <w:rPr>
          <w:rFonts w:hint="eastAsia" w:ascii="宋体" w:hAnsi="宋体"/>
          <w:sz w:val="24"/>
          <w:u w:val="single"/>
        </w:rPr>
        <w:t>日</w:t>
      </w:r>
      <w:r>
        <w:rPr>
          <w:rFonts w:hint="eastAsia" w:ascii="宋体" w:hAnsi="宋体"/>
          <w:sz w:val="24"/>
        </w:rPr>
        <w:t>，</w:t>
      </w:r>
      <w:r>
        <w:rPr>
          <w:rFonts w:hint="eastAsia" w:ascii="宋体" w:hAnsi="宋体"/>
          <w:sz w:val="24"/>
          <w:lang w:eastAsia="zh-CN"/>
        </w:rPr>
        <w:t>在</w:t>
      </w:r>
      <w:r>
        <w:rPr>
          <w:rFonts w:hint="eastAsia" w:ascii="宋体" w:hAnsi="宋体" w:cs="宋体"/>
          <w:sz w:val="24"/>
        </w:rPr>
        <w:t>湖南省湘水集团有限公司网站（http：//www.hnsxsjt.co）、湖南省港务集团有限公司门户网站（http://www.hnsgwjt.com</w:t>
      </w:r>
      <w:r>
        <w:rPr>
          <w:rFonts w:hint="eastAsia" w:ascii="宋体" w:hAnsi="宋体" w:cs="宋体"/>
          <w:sz w:val="24"/>
          <w:u w:val="none"/>
        </w:rPr>
        <w:t>/）</w:t>
      </w:r>
      <w:r>
        <w:rPr>
          <w:rFonts w:hint="eastAsia" w:ascii="宋体" w:hAnsi="宋体"/>
          <w:sz w:val="24"/>
          <w:highlight w:val="none"/>
          <w:u w:val="none"/>
          <w:lang w:eastAsia="zh-CN"/>
        </w:rPr>
        <w:t>上</w:t>
      </w:r>
      <w:r>
        <w:rPr>
          <w:rFonts w:hint="eastAsia" w:ascii="宋体" w:hAnsi="宋体"/>
          <w:sz w:val="24"/>
          <w:u w:val="none"/>
        </w:rPr>
        <w:t>获取采购文件</w:t>
      </w:r>
      <w:r>
        <w:rPr>
          <w:rFonts w:hint="eastAsia" w:ascii="宋体" w:hAnsi="宋体"/>
          <w:sz w:val="24"/>
          <w:u w:val="none"/>
          <w:lang w:eastAsia="zh-CN"/>
        </w:rPr>
        <w:t>；</w:t>
      </w:r>
    </w:p>
    <w:p>
      <w:pPr>
        <w:autoSpaceDE w:val="0"/>
        <w:spacing w:line="360" w:lineRule="auto"/>
        <w:jc w:val="both"/>
        <w:rPr>
          <w:rFonts w:ascii="宋体" w:hAnsi="宋体"/>
          <w:sz w:val="24"/>
        </w:rPr>
      </w:pPr>
      <w:r>
        <w:rPr>
          <w:rFonts w:hint="eastAsia" w:ascii="宋体" w:hAnsi="宋体"/>
          <w:b/>
          <w:bCs/>
          <w:sz w:val="24"/>
        </w:rPr>
        <w:t xml:space="preserve">6.3 </w:t>
      </w:r>
      <w:r>
        <w:rPr>
          <w:rFonts w:hint="eastAsia" w:ascii="宋体" w:hAnsi="宋体"/>
          <w:sz w:val="24"/>
        </w:rPr>
        <w:t>供应商若对本项目采购需求、资格要求等有疑问的，应当于</w:t>
      </w:r>
      <w:r>
        <w:rPr>
          <w:rFonts w:hint="eastAsia" w:ascii="宋体" w:hAnsi="宋体"/>
          <w:sz w:val="24"/>
          <w:u w:val="single"/>
          <w:lang w:val="en-US" w:eastAsia="zh-CN"/>
        </w:rPr>
        <w:t>2022</w:t>
      </w:r>
      <w:r>
        <w:rPr>
          <w:rFonts w:hint="eastAsia" w:ascii="宋体" w:hAnsi="宋体"/>
          <w:sz w:val="24"/>
          <w:u w:val="single"/>
        </w:rPr>
        <w:t>年</w:t>
      </w:r>
      <w:r>
        <w:rPr>
          <w:rFonts w:hint="eastAsia" w:ascii="宋体" w:hAnsi="宋体"/>
          <w:sz w:val="24"/>
          <w:u w:val="single"/>
          <w:lang w:val="en-US" w:eastAsia="zh-CN"/>
        </w:rPr>
        <w:t>6</w:t>
      </w:r>
      <w:r>
        <w:rPr>
          <w:rFonts w:hint="eastAsia" w:ascii="宋体" w:hAnsi="宋体"/>
          <w:sz w:val="24"/>
          <w:u w:val="single"/>
        </w:rPr>
        <w:t>月</w:t>
      </w:r>
      <w:r>
        <w:rPr>
          <w:rFonts w:hint="eastAsia" w:ascii="宋体" w:hAnsi="宋体"/>
          <w:sz w:val="24"/>
          <w:u w:val="single"/>
          <w:lang w:val="en-US" w:eastAsia="zh-CN"/>
        </w:rPr>
        <w:t>1</w:t>
      </w:r>
      <w:r>
        <w:rPr>
          <w:rFonts w:hint="eastAsia" w:ascii="宋体" w:hAnsi="宋体"/>
          <w:sz w:val="24"/>
          <w:u w:val="single"/>
        </w:rPr>
        <w:t>日</w:t>
      </w:r>
      <w:r>
        <w:rPr>
          <w:rFonts w:hint="eastAsia" w:ascii="宋体" w:hAnsi="宋体"/>
          <w:sz w:val="24"/>
          <w:u w:val="single"/>
          <w:lang w:val="en-US" w:eastAsia="zh-CN"/>
        </w:rPr>
        <w:t>17</w:t>
      </w:r>
      <w:r>
        <w:rPr>
          <w:rFonts w:hint="eastAsia" w:ascii="宋体" w:hAnsi="宋体"/>
          <w:sz w:val="24"/>
          <w:u w:val="single"/>
        </w:rPr>
        <w:t>时</w:t>
      </w:r>
      <w:r>
        <w:rPr>
          <w:rFonts w:hint="eastAsia" w:ascii="宋体" w:hAnsi="宋体"/>
          <w:sz w:val="24"/>
          <w:u w:val="single"/>
          <w:lang w:val="en-US" w:eastAsia="zh-CN"/>
        </w:rPr>
        <w:t>30</w:t>
      </w:r>
      <w:r>
        <w:rPr>
          <w:rFonts w:hint="eastAsia" w:ascii="宋体" w:hAnsi="宋体"/>
          <w:sz w:val="24"/>
          <w:u w:val="single"/>
        </w:rPr>
        <w:t>分</w:t>
      </w:r>
      <w:r>
        <w:rPr>
          <w:rFonts w:hint="eastAsia" w:ascii="宋体" w:hAnsi="宋体"/>
          <w:sz w:val="24"/>
        </w:rPr>
        <w:t>前向采购人提出澄清要求。</w:t>
      </w:r>
    </w:p>
    <w:p>
      <w:pPr>
        <w:pStyle w:val="8"/>
        <w:spacing w:line="360" w:lineRule="auto"/>
        <w:jc w:val="both"/>
      </w:pPr>
      <w:r>
        <w:rPr>
          <w:rFonts w:hint="eastAsia"/>
        </w:rPr>
        <w:t>7</w:t>
      </w:r>
      <w:r>
        <w:t xml:space="preserve"> </w:t>
      </w:r>
      <w:r>
        <w:rPr>
          <w:rFonts w:hint="eastAsia"/>
        </w:rPr>
        <w:t>发布</w:t>
      </w:r>
      <w:r>
        <w:rPr>
          <w:rFonts w:hint="eastAsia" w:ascii="黑体" w:hAnsi="黑体"/>
        </w:rPr>
        <w:t>公告的</w:t>
      </w:r>
      <w:r>
        <w:rPr>
          <w:rFonts w:hint="eastAsia"/>
        </w:rPr>
        <w:t>媒介</w:t>
      </w:r>
    </w:p>
    <w:p>
      <w:pPr>
        <w:widowControl w:val="0"/>
        <w:spacing w:line="360" w:lineRule="auto"/>
        <w:ind w:firstLine="480" w:firstLineChars="200"/>
        <w:jc w:val="both"/>
      </w:pPr>
      <w:r>
        <w:rPr>
          <w:rFonts w:hint="eastAsia" w:ascii="宋体" w:hAnsi="宋体"/>
          <w:bCs/>
          <w:sz w:val="24"/>
        </w:rPr>
        <w:t>本次采购公告</w:t>
      </w:r>
      <w:r>
        <w:rPr>
          <w:rFonts w:hint="eastAsia" w:ascii="宋体" w:hAnsi="宋体"/>
          <w:sz w:val="24"/>
        </w:rPr>
        <w:t>发布的媒介:</w:t>
      </w:r>
      <w:r>
        <w:rPr>
          <w:rFonts w:hint="eastAsia" w:ascii="宋体" w:hAnsi="宋体" w:cs="宋体"/>
          <w:sz w:val="24"/>
        </w:rPr>
        <w:t xml:space="preserve"> 中国招标投标公共服务平台（http：//www.cebpubservice.com）、湖南省湘水集团有限公司网站（http：//www.hnsxsjt.com）、湖南省港务集团有限公司门户网站（http://www.hnsgwjt.com/）上发布。</w:t>
      </w:r>
    </w:p>
    <w:p>
      <w:pPr>
        <w:pStyle w:val="8"/>
        <w:spacing w:line="360" w:lineRule="auto"/>
        <w:jc w:val="both"/>
      </w:pPr>
      <w:r>
        <w:rPr>
          <w:rFonts w:hint="eastAsia"/>
        </w:rPr>
        <w:t>8</w:t>
      </w:r>
      <w:bookmarkStart w:id="0" w:name="_Toc77254104"/>
      <w:bookmarkStart w:id="1" w:name="_Toc512257471"/>
      <w:bookmarkStart w:id="2" w:name="_Toc76635692"/>
      <w:bookmarkStart w:id="3" w:name="_Toc79596547"/>
      <w:r>
        <w:t xml:space="preserve"> 监督</w:t>
      </w:r>
      <w:bookmarkEnd w:id="0"/>
      <w:bookmarkEnd w:id="1"/>
      <w:bookmarkEnd w:id="2"/>
      <w:r>
        <w:rPr>
          <w:rFonts w:hint="eastAsia"/>
        </w:rPr>
        <w:t>部门</w:t>
      </w:r>
      <w:bookmarkEnd w:id="3"/>
    </w:p>
    <w:p>
      <w:pPr>
        <w:pStyle w:val="14"/>
        <w:widowControl w:val="0"/>
        <w:adjustRightInd w:val="0"/>
        <w:snapToGrid w:val="0"/>
        <w:spacing w:before="0" w:beforeAutospacing="0" w:after="0" w:afterAutospacing="0" w:line="360" w:lineRule="auto"/>
        <w:ind w:firstLine="480" w:firstLineChars="200"/>
        <w:jc w:val="both"/>
      </w:pPr>
      <w:r>
        <w:rPr>
          <w:rFonts w:cs="Times New Roman"/>
        </w:rPr>
        <w:t>本次</w:t>
      </w:r>
      <w:r>
        <w:rPr>
          <w:rFonts w:hint="eastAsia" w:cs="Times New Roman"/>
        </w:rPr>
        <w:t>采购</w:t>
      </w:r>
      <w:r>
        <w:rPr>
          <w:rFonts w:cs="Times New Roman"/>
        </w:rPr>
        <w:t>监督部门为</w:t>
      </w:r>
      <w:r>
        <w:rPr>
          <w:rFonts w:hint="eastAsia" w:cs="Times New Roman"/>
        </w:rPr>
        <w:t>湖南</w:t>
      </w:r>
      <w:r>
        <w:rPr>
          <w:rFonts w:hint="eastAsia"/>
        </w:rPr>
        <w:t>港产科技有限公司党群综合部</w:t>
      </w:r>
      <w:r>
        <w:rPr>
          <w:rFonts w:cs="Times New Roman"/>
        </w:rPr>
        <w:t>，电话：</w:t>
      </w:r>
      <w:r>
        <w:rPr>
          <w:rFonts w:hint="eastAsia"/>
        </w:rPr>
        <w:t>13873063063</w:t>
      </w:r>
    </w:p>
    <w:p>
      <w:pPr>
        <w:pStyle w:val="6"/>
        <w:widowControl w:val="0"/>
        <w:adjustRightInd w:val="0"/>
        <w:snapToGrid w:val="0"/>
        <w:spacing w:after="0" w:line="360" w:lineRule="auto"/>
        <w:jc w:val="both"/>
        <w:rPr>
          <w:rFonts w:cs="宋体"/>
          <w:sz w:val="24"/>
          <w:szCs w:val="24"/>
        </w:rPr>
      </w:pPr>
      <w:r>
        <w:rPr>
          <w:rFonts w:hint="eastAsia" w:ascii="黑体" w:hAnsi="黑体"/>
        </w:rPr>
        <w:t>9</w:t>
      </w:r>
      <w:r>
        <w:rPr>
          <w:rFonts w:hint="eastAsia" w:cs="宋体"/>
          <w:sz w:val="24"/>
          <w:szCs w:val="24"/>
        </w:rPr>
        <w:t>最高投标限价</w:t>
      </w:r>
    </w:p>
    <w:p>
      <w:pPr>
        <w:keepNext w:val="0"/>
        <w:keepLines w:val="0"/>
        <w:widowControl/>
        <w:suppressLineNumbers w:val="0"/>
        <w:spacing w:line="360" w:lineRule="auto"/>
        <w:jc w:val="left"/>
        <w:rPr>
          <w:rFonts w:ascii="宋体" w:hAnsi="宋体" w:cs="宋体"/>
          <w:bCs/>
          <w:color w:val="000000"/>
          <w:sz w:val="24"/>
        </w:rPr>
      </w:pPr>
      <w:r>
        <w:rPr>
          <w:rFonts w:hint="eastAsia" w:ascii="宋体" w:hAnsi="宋体" w:cs="宋体"/>
          <w:bCs/>
          <w:color w:val="000000"/>
          <w:sz w:val="24"/>
        </w:rPr>
        <w:t>采购人对本次询价项目设置了最高限价为：</w:t>
      </w:r>
      <w:r>
        <w:rPr>
          <w:rFonts w:hint="eastAsia" w:ascii="宋体" w:hAnsi="宋体" w:cs="宋体"/>
          <w:bCs/>
          <w:color w:val="000000"/>
          <w:sz w:val="24"/>
          <w:lang w:val="en-US" w:eastAsia="zh-CN"/>
        </w:rPr>
        <w:t>壹拾肆万陆仟叁佰捌拾元整</w:t>
      </w:r>
      <w:r>
        <w:rPr>
          <w:rFonts w:hint="eastAsia" w:ascii="宋体" w:hAnsi="宋体" w:cs="宋体"/>
          <w:bCs/>
          <w:color w:val="000000"/>
          <w:sz w:val="24"/>
        </w:rPr>
        <w:t>（¥</w:t>
      </w:r>
      <w:r>
        <w:rPr>
          <w:rFonts w:hint="eastAsia" w:ascii="宋体" w:hAnsi="宋体" w:eastAsia="宋体" w:cs="宋体"/>
          <w:color w:val="000000"/>
          <w:kern w:val="0"/>
          <w:sz w:val="24"/>
          <w:szCs w:val="24"/>
          <w:lang w:val="en-US" w:eastAsia="zh-CN" w:bidi="ar"/>
        </w:rPr>
        <w:t>146380</w:t>
      </w:r>
      <w:r>
        <w:rPr>
          <w:rFonts w:hint="eastAsia" w:ascii="宋体" w:hAnsi="宋体" w:cs="宋体"/>
          <w:color w:val="000000"/>
          <w:kern w:val="0"/>
          <w:sz w:val="24"/>
          <w:szCs w:val="24"/>
          <w:lang w:val="en-US" w:eastAsia="zh-CN" w:bidi="ar"/>
        </w:rPr>
        <w:t>元</w:t>
      </w:r>
      <w:r>
        <w:rPr>
          <w:rFonts w:hint="eastAsia" w:ascii="宋体" w:hAnsi="宋体" w:cs="宋体"/>
          <w:bCs/>
          <w:color w:val="000000"/>
          <w:sz w:val="24"/>
        </w:rPr>
        <w:t>）（含3%增值税）超过最高限价的作废。如果报价人提供其他税率的增值税专用发票，招标人按3%的税率调整后计算报价参与排序。</w:t>
      </w:r>
    </w:p>
    <w:p>
      <w:pPr>
        <w:adjustRightInd w:val="0"/>
        <w:snapToGrid w:val="0"/>
        <w:spacing w:line="360" w:lineRule="auto"/>
        <w:ind w:firstLine="480" w:firstLineChars="200"/>
        <w:rPr>
          <w:rFonts w:hint="eastAsia" w:ascii="宋体" w:hAnsi="宋体" w:cs="宋体"/>
          <w:bCs/>
          <w:color w:val="000000"/>
          <w:sz w:val="24"/>
        </w:rPr>
      </w:pPr>
      <w:r>
        <w:rPr>
          <w:rFonts w:hint="eastAsia" w:ascii="宋体" w:hAnsi="宋体" w:cs="宋体"/>
          <w:bCs/>
          <w:color w:val="000000"/>
          <w:sz w:val="24"/>
        </w:rPr>
        <w:t>本项目的报价采用包工、包质量、包安全生产和安全保卫、包文明施工，综合单价包干的方式进行承包。综合单价包括：相应所有直接费、各种技术措施费用、管理费、利润、安全文明施工费、冬雨季施工增加费、社会保险费、规费、税金、从指定的水电接驳点接水接电费用及夜间施工照明费用、合同工期内的赶工费、各种施工风险因素后的综合单价。最终结算金额以实际发生量为准。</w:t>
      </w:r>
    </w:p>
    <w:p>
      <w:pPr>
        <w:pStyle w:val="8"/>
        <w:spacing w:line="360" w:lineRule="auto"/>
        <w:jc w:val="both"/>
        <w:rPr>
          <w:rFonts w:ascii="Arial" w:hAnsi="Arial"/>
        </w:rPr>
      </w:pPr>
      <w:r>
        <w:t>10</w:t>
      </w:r>
      <w:r>
        <w:rPr>
          <w:rFonts w:hint="eastAsia" w:ascii="黑体" w:hAnsi="黑体"/>
        </w:rPr>
        <w:t>联系方式</w:t>
      </w:r>
    </w:p>
    <w:p>
      <w:pPr>
        <w:autoSpaceDE w:val="0"/>
        <w:spacing w:line="360" w:lineRule="auto"/>
        <w:ind w:firstLine="240" w:firstLineChars="100"/>
        <w:jc w:val="both"/>
        <w:rPr>
          <w:rFonts w:ascii="宋体" w:hAnsi="宋体"/>
          <w:sz w:val="24"/>
        </w:rPr>
      </w:pPr>
      <w:r>
        <w:rPr>
          <w:rFonts w:hint="eastAsia" w:ascii="宋体" w:hAnsi="宋体"/>
          <w:sz w:val="24"/>
        </w:rPr>
        <w:t xml:space="preserve">采 购 人: 湖南港产科技有限公司         </w:t>
      </w:r>
    </w:p>
    <w:p>
      <w:pPr>
        <w:autoSpaceDE w:val="0"/>
        <w:spacing w:line="360" w:lineRule="auto"/>
        <w:ind w:firstLine="240" w:firstLineChars="100"/>
        <w:jc w:val="both"/>
        <w:rPr>
          <w:rFonts w:ascii="宋体" w:hAnsi="宋体"/>
          <w:sz w:val="24"/>
        </w:rPr>
      </w:pPr>
      <w:r>
        <w:rPr>
          <w:rFonts w:hint="eastAsia" w:ascii="宋体" w:hAnsi="宋体"/>
          <w:sz w:val="24"/>
        </w:rPr>
        <w:t>地    址: 湖南省岳阳市城陵矶长江路2号</w:t>
      </w:r>
    </w:p>
    <w:p>
      <w:pPr>
        <w:autoSpaceDE w:val="0"/>
        <w:spacing w:line="360" w:lineRule="auto"/>
        <w:ind w:firstLine="240" w:firstLineChars="100"/>
        <w:jc w:val="both"/>
        <w:rPr>
          <w:rFonts w:ascii="宋体" w:hAnsi="宋体"/>
          <w:sz w:val="24"/>
        </w:rPr>
      </w:pPr>
      <w:r>
        <w:rPr>
          <w:rFonts w:hint="eastAsia" w:ascii="宋体" w:hAnsi="宋体"/>
          <w:sz w:val="24"/>
        </w:rPr>
        <w:t xml:space="preserve">邮政编码: 414000                         </w:t>
      </w:r>
    </w:p>
    <w:p>
      <w:pPr>
        <w:autoSpaceDE w:val="0"/>
        <w:spacing w:line="360" w:lineRule="auto"/>
        <w:ind w:firstLine="240" w:firstLineChars="100"/>
        <w:jc w:val="both"/>
        <w:rPr>
          <w:rFonts w:ascii="宋体" w:hAnsi="宋体"/>
          <w:sz w:val="24"/>
        </w:rPr>
      </w:pPr>
      <w:r>
        <w:rPr>
          <w:rFonts w:hint="eastAsia" w:ascii="宋体" w:hAnsi="宋体"/>
          <w:sz w:val="24"/>
        </w:rPr>
        <w:t xml:space="preserve">联 系 人:  潘建良                 </w:t>
      </w:r>
    </w:p>
    <w:p>
      <w:pPr>
        <w:autoSpaceDE w:val="0"/>
        <w:spacing w:line="360" w:lineRule="auto"/>
        <w:ind w:firstLine="240" w:firstLineChars="100"/>
        <w:jc w:val="both"/>
        <w:rPr>
          <w:rFonts w:ascii="宋体" w:hAnsi="宋体"/>
          <w:sz w:val="24"/>
        </w:rPr>
      </w:pPr>
      <w:r>
        <w:rPr>
          <w:rFonts w:hint="eastAsia" w:ascii="宋体" w:hAnsi="宋体"/>
          <w:sz w:val="24"/>
        </w:rPr>
        <w:t xml:space="preserve">电    话: </w:t>
      </w:r>
      <w:r>
        <w:rPr>
          <w:rFonts w:ascii="宋体" w:hAnsi="宋体"/>
          <w:sz w:val="24"/>
        </w:rPr>
        <w:t>15200220808</w:t>
      </w:r>
    </w:p>
    <w:p>
      <w:pPr>
        <w:spacing w:line="240" w:lineRule="auto"/>
        <w:jc w:val="both"/>
        <w:rPr>
          <w:rFonts w:ascii="宋体" w:hAnsi="宋体"/>
          <w:sz w:val="24"/>
        </w:rPr>
      </w:pPr>
      <w:bookmarkStart w:id="4" w:name="_Toc517787494"/>
      <w:bookmarkStart w:id="5" w:name="_Toc234832861"/>
      <w:r>
        <w:rPr>
          <w:rFonts w:ascii="宋体" w:hAnsi="宋体"/>
          <w:sz w:val="24"/>
        </w:rPr>
        <w:t xml:space="preserve"> </w:t>
      </w:r>
    </w:p>
    <w:p>
      <w:r>
        <w:rPr>
          <w:rFonts w:ascii="宋体" w:hAnsi="宋体"/>
          <w:sz w:val="24"/>
        </w:rPr>
        <w:br w:type="page"/>
      </w:r>
    </w:p>
    <w:p>
      <w:pPr>
        <w:spacing w:line="600" w:lineRule="exact"/>
        <w:jc w:val="center"/>
        <w:rPr>
          <w:rFonts w:ascii="黑体" w:hAnsi="黑体" w:eastAsia="黑体"/>
          <w:sz w:val="32"/>
          <w:szCs w:val="32"/>
        </w:rPr>
      </w:pPr>
      <w:r>
        <w:rPr>
          <w:rFonts w:hint="eastAsia" w:ascii="黑体" w:hAnsi="黑体" w:eastAsia="黑体"/>
          <w:sz w:val="32"/>
          <w:szCs w:val="32"/>
        </w:rPr>
        <w:t>第二章  供应商须知</w:t>
      </w:r>
      <w:bookmarkEnd w:id="4"/>
      <w:bookmarkEnd w:id="5"/>
    </w:p>
    <w:p>
      <w:pPr>
        <w:pStyle w:val="5"/>
        <w:spacing w:before="240" w:after="240" w:line="600" w:lineRule="exact"/>
        <w:jc w:val="both"/>
        <w:rPr>
          <w:rFonts w:ascii="仿宋" w:hAnsi="仿宋" w:eastAsia="仿宋" w:cs="仿宋"/>
          <w:sz w:val="30"/>
          <w:szCs w:val="30"/>
        </w:rPr>
      </w:pPr>
      <w:bookmarkStart w:id="6" w:name="_Toc234832862"/>
      <w:bookmarkStart w:id="7" w:name="_Toc517787495"/>
      <w:r>
        <w:rPr>
          <w:rFonts w:hint="eastAsia" w:ascii="仿宋" w:hAnsi="仿宋" w:eastAsia="仿宋" w:cs="仿宋"/>
          <w:sz w:val="30"/>
          <w:szCs w:val="30"/>
        </w:rPr>
        <w:t>供应商须知前附表</w:t>
      </w:r>
      <w:r>
        <w:rPr>
          <w:rStyle w:val="20"/>
          <w:rFonts w:hint="eastAsia" w:ascii="仿宋" w:hAnsi="仿宋" w:eastAsia="仿宋" w:cs="仿宋"/>
          <w:sz w:val="30"/>
          <w:szCs w:val="30"/>
        </w:rPr>
        <w:footnoteReference w:id="0"/>
      </w:r>
      <w:bookmarkEnd w:id="6"/>
      <w:bookmarkEnd w:id="7"/>
    </w:p>
    <w:tbl>
      <w:tblPr>
        <w:tblStyle w:val="16"/>
        <w:tblW w:w="9854" w:type="dxa"/>
        <w:tblInd w:w="0" w:type="dxa"/>
        <w:tblLayout w:type="fixed"/>
        <w:tblCellMar>
          <w:top w:w="0" w:type="dxa"/>
          <w:left w:w="108" w:type="dxa"/>
          <w:bottom w:w="0" w:type="dxa"/>
          <w:right w:w="108" w:type="dxa"/>
        </w:tblCellMar>
      </w:tblPr>
      <w:tblGrid>
        <w:gridCol w:w="1415"/>
        <w:gridCol w:w="3090"/>
        <w:gridCol w:w="5349"/>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☑询价</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☑最低价法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☑不组织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☑不召开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1.9</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（A、C）</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不得分包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允许偏差的范围：细微偏差</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允许偏差的项数：3项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截止时间：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确认的最晚时间：</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确定的方式：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color w:val="FF0000"/>
                <w:sz w:val="24"/>
              </w:rPr>
              <w:t>采购标的数量增减幅度</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采购标的数量增减幅度：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color w:val="C00000"/>
                <w:sz w:val="24"/>
              </w:rPr>
              <w:t>最高限价</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☑有，</w:t>
            </w:r>
            <w:r>
              <w:rPr>
                <w:rFonts w:hint="eastAsia" w:cs="仿宋" w:asciiTheme="minorEastAsia" w:hAnsiTheme="minorEastAsia" w:eastAsiaTheme="minorEastAsia"/>
                <w:sz w:val="24"/>
                <w:lang w:val="en-US" w:eastAsia="zh-CN"/>
              </w:rPr>
              <w:t>最高限价：</w:t>
            </w:r>
            <w:r>
              <w:rPr>
                <w:rFonts w:hint="eastAsia" w:ascii="宋体" w:hAnsi="宋体" w:eastAsia="宋体" w:cs="宋体"/>
                <w:color w:val="000000"/>
                <w:kern w:val="0"/>
                <w:sz w:val="24"/>
                <w:szCs w:val="24"/>
                <w:lang w:val="en-US" w:eastAsia="zh-CN" w:bidi="ar"/>
              </w:rPr>
              <w:t>146380</w:t>
            </w:r>
            <w:r>
              <w:rPr>
                <w:rFonts w:hint="eastAsia" w:cs="仿宋" w:asciiTheme="minorEastAsia" w:hAnsiTheme="minorEastAsia" w:eastAsiaTheme="minorEastAsia"/>
                <w:sz w:val="24"/>
                <w:lang w:val="en-US" w:eastAsia="zh-CN"/>
              </w:rPr>
              <w:t>.00元</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p>
        </w:tc>
      </w:tr>
      <w:tr>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☑不要求递交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9"/>
                <w:rFonts w:asciiTheme="minorEastAsia" w:hAnsiTheme="minorEastAsia" w:eastAsiaTheme="minorEastAsia"/>
                <w:b w:val="0"/>
                <w:color w:val="000000"/>
                <w:sz w:val="24"/>
              </w:rPr>
            </w:pPr>
            <w:r>
              <w:rPr>
                <w:rStyle w:val="19"/>
                <w:rFonts w:hint="eastAsia" w:asciiTheme="minorEastAsia" w:hAnsiTheme="minorEastAsia" w:eastAsiaTheme="minorEastAsia"/>
                <w:b w:val="0"/>
                <w:color w:val="000000"/>
                <w:sz w:val="24"/>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rPr>
            </w:pPr>
            <w:r>
              <w:rPr>
                <w:rFonts w:hint="eastAsia" w:cs="仿宋" w:asciiTheme="minorEastAsia" w:hAnsiTheme="minorEastAsia" w:eastAsiaTheme="minorEastAsia"/>
                <w:sz w:val="24"/>
              </w:rPr>
              <w:t>☑适用。</w:t>
            </w:r>
            <w:r>
              <w:rPr>
                <w:rFonts w:hint="eastAsia" w:asciiTheme="minorEastAsia" w:hAnsiTheme="minorEastAsia" w:eastAsiaTheme="minorEastAsia"/>
                <w:color w:val="000000"/>
                <w:sz w:val="24"/>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19"/>
                <w:rFonts w:hint="eastAsia" w:asciiTheme="minorEastAsia" w:hAnsiTheme="minorEastAsia" w:eastAsiaTheme="minorEastAsia"/>
                <w:b w:val="0"/>
                <w:color w:val="000000"/>
                <w:sz w:val="24"/>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☑适用。</w:t>
            </w:r>
            <w:r>
              <w:rPr>
                <w:rFonts w:hint="eastAsia" w:ascii="宋体" w:hAnsi="宋体" w:cs="宋体"/>
                <w:color w:val="000000"/>
                <w:sz w:val="24"/>
              </w:rPr>
              <w:t>供应商应提供市政工程</w:t>
            </w:r>
            <w:r>
              <w:rPr>
                <w:rFonts w:hint="eastAsia" w:ascii="宋体" w:hAnsi="宋体" w:cs="宋体"/>
                <w:color w:val="000000"/>
                <w:sz w:val="24"/>
                <w:lang w:val="en-US" w:eastAsia="zh-CN"/>
              </w:rPr>
              <w:t>总包（叁级）/建筑工程总包（叁级）/环保工程承包（叁级）/施工劳务其一或</w:t>
            </w:r>
            <w:r>
              <w:rPr>
                <w:rFonts w:hint="eastAsia" w:ascii="宋体" w:hAnsi="宋体" w:cs="宋体"/>
                <w:color w:val="000000"/>
                <w:sz w:val="24"/>
              </w:rPr>
              <w:t>以上资质，并提供</w:t>
            </w:r>
            <w:r>
              <w:rPr>
                <w:rFonts w:hint="eastAsia" w:cs="宋体" w:asciiTheme="minorEastAsia" w:hAnsiTheme="minorEastAsia" w:eastAsiaTheme="minorEastAsia"/>
                <w:color w:val="000000"/>
                <w:sz w:val="24"/>
              </w:rPr>
              <w:t>相关资质证书副本的复印件，以证明供应商具有承担本项目要求的资质。</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9"/>
                <w:rFonts w:asciiTheme="minorEastAsia" w:hAnsiTheme="minorEastAsia" w:eastAsiaTheme="minorEastAsia"/>
                <w:b w:val="0"/>
                <w:color w:val="000000"/>
                <w:sz w:val="24"/>
              </w:rPr>
            </w:pPr>
            <w:r>
              <w:rPr>
                <w:rStyle w:val="19"/>
                <w:rFonts w:hint="eastAsia" w:asciiTheme="minorEastAsia" w:hAnsiTheme="minorEastAsia" w:eastAsiaTheme="minorEastAsia"/>
                <w:b w:val="0"/>
                <w:color w:val="000000"/>
                <w:sz w:val="24"/>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☑适用。供应商应提供近年的土建项目情况表（格式见第六章“响应文件格式”七、资格审查资料（三）近年的类似项目情况表），以证明供应商具有承担本项目要求的业绩</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sz w:val="24"/>
                <w:u w:val="single"/>
              </w:rPr>
              <w:t>至少提供1份业绩证明材料，提供复印件并加盖单位公章。</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。近年是指</w:t>
            </w:r>
            <w:r>
              <w:rPr>
                <w:rFonts w:hint="eastAsia" w:cs="宋体" w:asciiTheme="minorEastAsia" w:hAnsiTheme="minorEastAsia" w:eastAsiaTheme="minorEastAsia"/>
                <w:color w:val="000000"/>
                <w:sz w:val="24"/>
                <w:u w:val="single"/>
              </w:rPr>
              <w:t xml:space="preserve">2019 </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2022年</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☑合同/订单</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□中标通知书/成交通知书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□竣工 验收报告/验收证明</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□业主证明</w:t>
            </w:r>
          </w:p>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rPr>
              <w:t>□其他材料：</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适用</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需要提供证明材料，包括：信用中国</w:t>
            </w:r>
            <w:r>
              <w:rPr>
                <w:rFonts w:hint="eastAsia" w:ascii="宋体" w:hAnsi="宋体" w:cs="宋体"/>
                <w:sz w:val="24"/>
              </w:rPr>
              <w:t>（https://www.creditchina.gov.cn/）网站上所下载的“企业信用信息报告”第1、2页复印件并加盖公章。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color w:val="000000"/>
                <w:sz w:val="24"/>
              </w:rPr>
              <w:t>☑适用。</w:t>
            </w:r>
            <w:r>
              <w:rPr>
                <w:rFonts w:hint="eastAsia" w:cs="宋体" w:asciiTheme="minorEastAsia" w:hAnsiTheme="minorEastAsia" w:eastAsiaTheme="minorEastAsia"/>
                <w:sz w:val="24"/>
              </w:rPr>
              <w:t>供应商应提供拟委任的主要人员汇总表和主要人员简历表（格式见第六章“响应文件格式”七、资格审查资料（</w:t>
            </w:r>
            <w:r>
              <w:rPr>
                <w:rFonts w:hint="eastAsia" w:cs="宋体" w:asciiTheme="minorEastAsia" w:hAnsiTheme="minorEastAsia" w:eastAsiaTheme="minorEastAsia"/>
                <w:sz w:val="24"/>
                <w:lang w:val="en-US" w:eastAsia="zh-CN"/>
              </w:rPr>
              <w:t>五</w:t>
            </w:r>
            <w:r>
              <w:rPr>
                <w:rFonts w:hint="eastAsia" w:cs="宋体" w:asciiTheme="minorEastAsia" w:hAnsiTheme="minorEastAsia" w:eastAsiaTheme="minorEastAsia"/>
                <w:sz w:val="24"/>
              </w:rPr>
              <w:t>）拟委任的主要人员汇总表和（</w:t>
            </w:r>
            <w:r>
              <w:rPr>
                <w:rFonts w:hint="eastAsia" w:cs="宋体" w:asciiTheme="minorEastAsia" w:hAnsiTheme="minorEastAsia" w:eastAsiaTheme="minorEastAsia"/>
                <w:sz w:val="24"/>
                <w:lang w:val="en-US" w:eastAsia="zh-CN"/>
              </w:rPr>
              <w:t>六</w:t>
            </w:r>
            <w:r>
              <w:rPr>
                <w:rFonts w:hint="eastAsia" w:cs="宋体" w:asciiTheme="minorEastAsia" w:hAnsiTheme="minorEastAsia" w:eastAsiaTheme="minorEastAsia"/>
                <w:sz w:val="24"/>
              </w:rPr>
              <w:t xml:space="preserve">）主要人员简历表）。供应商应填报满足第一章“采购公告”规定的项目负责人和其他主要人员的相关信息，并按如下要求提供相关证明文件：                    </w:t>
            </w:r>
          </w:p>
          <w:p>
            <w:pPr>
              <w:spacing w:line="288" w:lineRule="auto"/>
              <w:jc w:val="both"/>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项目负责人1人：须具备施工员岗位资格证书</w:t>
            </w:r>
            <w:r>
              <w:rPr>
                <w:rFonts w:hint="eastAsia" w:cs="宋体" w:asciiTheme="minorEastAsia" w:hAnsiTheme="minorEastAsia" w:eastAsiaTheme="minorEastAsia"/>
                <w:sz w:val="24"/>
                <w:lang w:val="en-US" w:eastAsia="zh-CN"/>
              </w:rPr>
              <w:t>或以上资质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sz w:val="24"/>
              </w:rPr>
              <w:t>项目安全员1人：须具备安全考核合格证书C证；</w:t>
            </w:r>
          </w:p>
        </w:tc>
      </w:tr>
      <w:tr>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rPr>
              <w:t>☑需要提供提供</w:t>
            </w:r>
            <w:r>
              <w:rPr>
                <w:rFonts w:hint="eastAsia" w:cs="宋体" w:asciiTheme="minorEastAsia" w:hAnsiTheme="minorEastAsia" w:eastAsiaTheme="minorEastAsia"/>
                <w:color w:val="000000"/>
                <w:sz w:val="24"/>
                <w:lang w:val="en-US" w:eastAsia="zh-CN"/>
              </w:rPr>
              <w:t>承诺函。</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提供证据或证明材料复印件，并加盖单位公章。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☑供应商只能提出唯一响应方案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是否要求提供电子版响应文件：</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☑不要求</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响应文件须密封包装，并在封套的封口处加盖供应商单位章。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12" w:lineRule="auto"/>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rPr>
              <w:t>☑适用，供应商名称：</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eastAsia="zh-CN"/>
              </w:rPr>
              <w:t>新港公司6#堆场排水沟盖板与地面下沉破裂维修项目响应文件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szCs w:val="24"/>
                <w:u w:val="single"/>
              </w:rPr>
            </w:pPr>
            <w:r>
              <w:rPr>
                <w:rFonts w:hint="eastAsia" w:cs="宋体" w:asciiTheme="minorEastAsia" w:hAnsiTheme="minorEastAsia" w:eastAsiaTheme="minorEastAsia"/>
                <w:color w:val="000000"/>
                <w:sz w:val="24"/>
              </w:rPr>
              <w:t>截止时间：</w:t>
            </w:r>
            <w:r>
              <w:rPr>
                <w:rFonts w:hint="eastAsia" w:cs="宋体" w:asciiTheme="minorEastAsia" w:hAnsiTheme="minorEastAsia" w:eastAsiaTheme="minorEastAsia"/>
                <w:color w:val="000000"/>
                <w:sz w:val="24"/>
                <w:szCs w:val="24"/>
                <w:highlight w:val="none"/>
                <w:u w:val="single"/>
                <w:lang w:val="en-US" w:eastAsia="zh-CN"/>
              </w:rPr>
              <w:t>2022年6月2日8时30分</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递交响应文件的地点： 湖南</w:t>
            </w:r>
            <w:r>
              <w:rPr>
                <w:rFonts w:hint="eastAsia" w:ascii="宋体" w:hAnsi="宋体"/>
                <w:sz w:val="24"/>
              </w:rPr>
              <w:t>港产科技有限公司办公楼1楼105室</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供应商撤回响应文件情况下退还响应保证金的时间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自采购人收到供应商递交的书面通知之日起</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日内</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开启顺序：</w:t>
            </w:r>
            <w:r>
              <w:rPr>
                <w:rFonts w:hint="eastAsia" w:cs="宋体" w:asciiTheme="minorEastAsia" w:hAnsiTheme="minorEastAsia" w:eastAsiaTheme="minorEastAsia"/>
                <w:color w:val="000000"/>
                <w:sz w:val="24"/>
                <w:u w:val="single"/>
              </w:rPr>
              <w:t xml:space="preserve">   随机 </w:t>
            </w:r>
            <w:r>
              <w:rPr>
                <w:rFonts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评审小组的组建</w:t>
            </w:r>
            <w:r>
              <w:rPr>
                <w:rStyle w:val="20"/>
                <w:rFonts w:cs="宋体" w:asciiTheme="minorEastAsia" w:hAnsiTheme="minorEastAsia" w:eastAsiaTheme="minorEastAsia"/>
                <w:color w:val="000000"/>
                <w:sz w:val="24"/>
              </w:rPr>
              <w:footnoteReference w:id="1"/>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评标（谈判）小组构成：3人。</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评审（谈判）专家确定方式：在湖南省湘水集团有限公司综合评标专家库中随机抽取2人，业主代表1人。</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评审小组推荐成交候选供应商的数量</w:t>
            </w:r>
            <w:r>
              <w:rPr>
                <w:rStyle w:val="20"/>
                <w:rFonts w:cs="宋体" w:asciiTheme="minorEastAsia" w:hAnsiTheme="minorEastAsia" w:eastAsiaTheme="minorEastAsia"/>
                <w:color w:val="000000"/>
                <w:sz w:val="24"/>
              </w:rPr>
              <w:footnoteReference w:id="2"/>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cs="宋体" w:asciiTheme="minorEastAsia" w:hAnsiTheme="minorEastAsia" w:eastAsiaTheme="minorEastAsia"/>
                <w:b/>
                <w:bCs/>
                <w:color w:val="000000"/>
                <w:sz w:val="24"/>
              </w:rPr>
              <w:t xml:space="preserve">  </w:t>
            </w:r>
            <w:r>
              <w:rPr>
                <w:rFonts w:hint="eastAsia" w:cs="宋体" w:asciiTheme="minorEastAsia" w:hAnsiTheme="minorEastAsia" w:eastAsiaTheme="minorEastAsia"/>
                <w:b/>
                <w:bCs/>
                <w:color w:val="000000"/>
                <w:sz w:val="24"/>
              </w:rPr>
              <w:t>1-3</w:t>
            </w:r>
            <w:r>
              <w:rPr>
                <w:rFonts w:hint="eastAsia" w:cs="宋体" w:asciiTheme="minorEastAsia" w:hAnsiTheme="minorEastAsia" w:eastAsiaTheme="minorEastAsia"/>
                <w:color w:val="000000"/>
                <w:sz w:val="24"/>
              </w:rPr>
              <w:t>个（不超过3个），并标明推荐顺序。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推荐成交候选供应商的排序及数量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☑排序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公示媒介：</w:t>
            </w:r>
            <w:r>
              <w:rPr>
                <w:rFonts w:hint="eastAsia" w:ascii="宋体" w:hAnsi="宋体" w:cs="宋体"/>
                <w:sz w:val="24"/>
              </w:rPr>
              <w:t>中国招标投标公共服务平台（http：//www.cebpubservice.com）、湖南省湘水集团有限公司网站（http：//www.hnsxsjt.co）、</w:t>
            </w:r>
            <w:r>
              <w:rPr>
                <w:rFonts w:hint="eastAsia" w:ascii="宋体" w:hAnsi="宋体" w:cs="宋体"/>
                <w:sz w:val="24"/>
                <w:u w:val="single"/>
              </w:rPr>
              <w:t xml:space="preserve">                                   </w:t>
            </w:r>
            <w:r>
              <w:rPr>
                <w:rFonts w:hint="eastAsia" w:ascii="宋体" w:hAnsi="宋体" w:cs="宋体"/>
                <w:sz w:val="24"/>
              </w:rPr>
              <w:t>湖南省港务集团有限公司门户网站（http://www.hnsgwjt.com/）上发布。</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公示期限：</w:t>
            </w:r>
            <w:r>
              <w:rPr>
                <w:rFonts w:hint="eastAsia" w:cs="宋体" w:asciiTheme="minorEastAsia" w:hAnsiTheme="minorEastAsia" w:eastAsiaTheme="minorEastAsia"/>
                <w:color w:val="000000"/>
                <w:sz w:val="24"/>
                <w:u w:val="single"/>
              </w:rPr>
              <w:t xml:space="preserve">   3日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u w:val="single"/>
              </w:rPr>
              <w:t>其他应公示的内容</w:t>
            </w:r>
            <w:r>
              <w:rPr>
                <w:rFonts w:hint="eastAsia" w:cs="宋体" w:asciiTheme="minorEastAsia" w:hAnsiTheme="minorEastAsia" w:eastAsiaTheme="minorEastAsia"/>
                <w:color w:val="000000"/>
                <w:sz w:val="24"/>
              </w:rPr>
              <w:t>：</w:t>
            </w:r>
            <w:r>
              <w:rPr>
                <w:rFonts w:hint="eastAsia" w:cs="宋体" w:asciiTheme="minorEastAsia" w:hAnsiTheme="minorEastAsia" w:eastAsiaTheme="minorEastAsia"/>
                <w:color w:val="000000"/>
                <w:sz w:val="24"/>
                <w:u w:val="single"/>
              </w:rPr>
              <w:t xml:space="preserve"> 无  </w:t>
            </w:r>
          </w:p>
        </w:tc>
      </w:tr>
      <w:tr>
        <w:tblPrEx>
          <w:tblCellMar>
            <w:top w:w="0" w:type="dxa"/>
            <w:left w:w="108" w:type="dxa"/>
            <w:bottom w:w="0" w:type="dxa"/>
            <w:right w:w="108" w:type="dxa"/>
          </w:tblCellMar>
        </w:tblPrEx>
        <w:trPr>
          <w:trHeight w:val="753"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☑不要求提交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联系人：</w:t>
            </w:r>
            <w:r>
              <w:rPr>
                <w:rFonts w:hint="eastAsia" w:cs="宋体" w:asciiTheme="minorEastAsia" w:hAnsiTheme="minorEastAsia" w:eastAsiaTheme="minorEastAsia"/>
                <w:color w:val="000000"/>
                <w:sz w:val="24"/>
                <w:u w:val="single"/>
              </w:rPr>
              <w:t xml:space="preserve">     晏晶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联系电话：13873063063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通信地址：湖南岳阳城陵矶长江路2号科技公司办公楼</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采购代理服务费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☑不要求承担</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需要补充的其他内容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供应商提供的相关证明文件若为复印件，必须加盖单位公章。</w:t>
            </w:r>
          </w:p>
          <w:p>
            <w:pPr>
              <w:spacing w:line="288" w:lineRule="auto"/>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本项目</w:t>
            </w:r>
            <w:r>
              <w:rPr>
                <w:rFonts w:hint="eastAsia" w:ascii="宋体" w:hAnsi="宋体" w:eastAsia="宋体" w:cs="宋体"/>
                <w:b/>
                <w:bCs/>
                <w:color w:val="000000"/>
                <w:sz w:val="21"/>
                <w:szCs w:val="21"/>
                <w:highlight w:val="none"/>
                <w:lang w:eastAsia="zh-CN"/>
              </w:rPr>
              <w:t>不接受</w:t>
            </w:r>
            <w:r>
              <w:rPr>
                <w:rFonts w:hint="eastAsia" w:ascii="宋体" w:hAnsi="宋体" w:eastAsia="宋体" w:cs="宋体"/>
                <w:color w:val="000000"/>
                <w:sz w:val="21"/>
                <w:szCs w:val="21"/>
                <w:highlight w:val="none"/>
                <w:lang w:eastAsia="zh-CN"/>
              </w:rPr>
              <w:t>联合体投标。</w:t>
            </w:r>
          </w:p>
          <w:p>
            <w:pPr>
              <w:spacing w:line="288" w:lineRule="auto"/>
              <w:jc w:val="both"/>
              <w:rPr>
                <w:rFonts w:cs="宋体" w:asciiTheme="minorEastAsia" w:hAnsiTheme="minorEastAsia" w:eastAsiaTheme="minorEastAsia"/>
                <w:color w:val="000000"/>
                <w:sz w:val="24"/>
              </w:rPr>
            </w:pPr>
            <w:r>
              <w:rPr>
                <w:rFonts w:hint="eastAsia" w:ascii="宋体" w:hAnsi="宋体" w:eastAsia="宋体" w:cs="宋体"/>
                <w:color w:val="000000"/>
                <w:sz w:val="21"/>
                <w:szCs w:val="21"/>
                <w:highlight w:val="none"/>
                <w:lang w:val="en-US" w:eastAsia="zh-CN"/>
              </w:rPr>
              <w:t>3.响应文件份数：</w:t>
            </w:r>
            <w:r>
              <w:rPr>
                <w:rFonts w:hint="eastAsia" w:ascii="宋体" w:hAnsi="宋体" w:eastAsia="宋体" w:cs="宋体"/>
                <w:color w:val="000000"/>
                <w:sz w:val="21"/>
                <w:szCs w:val="21"/>
                <w:highlight w:val="none"/>
                <w:u w:val="single"/>
              </w:rPr>
              <w:t>正本1份</w:t>
            </w:r>
            <w:r>
              <w:rPr>
                <w:rFonts w:hint="eastAsia" w:ascii="宋体" w:hAnsi="宋体" w:eastAsia="宋体" w:cs="宋体"/>
                <w:color w:val="000000"/>
                <w:sz w:val="21"/>
                <w:szCs w:val="21"/>
                <w:highlight w:val="none"/>
              </w:rPr>
              <w:t>，</w:t>
            </w:r>
            <w:r>
              <w:rPr>
                <w:rFonts w:hint="eastAsia" w:ascii="宋体" w:hAnsi="宋体" w:eastAsia="宋体" w:cs="宋体"/>
                <w:b w:val="0"/>
                <w:bCs w:val="0"/>
                <w:color w:val="000000"/>
                <w:sz w:val="21"/>
                <w:szCs w:val="21"/>
                <w:highlight w:val="none"/>
                <w:u w:val="single"/>
              </w:rPr>
              <w:t>副本 2 份</w:t>
            </w:r>
            <w:r>
              <w:rPr>
                <w:rFonts w:hint="eastAsia" w:ascii="宋体" w:hAnsi="宋体" w:eastAsia="宋体" w:cs="宋体"/>
                <w:color w:val="000000"/>
                <w:sz w:val="21"/>
                <w:szCs w:val="21"/>
                <w:highlight w:val="none"/>
                <w:lang w:eastAsia="zh-CN"/>
              </w:rPr>
              <w:t>。</w:t>
            </w:r>
          </w:p>
        </w:tc>
      </w:tr>
    </w:tbl>
    <w:p>
      <w:r>
        <w:br w:type="page"/>
      </w:r>
    </w:p>
    <w:p>
      <w:pPr>
        <w:spacing w:line="240" w:lineRule="auto"/>
        <w:jc w:val="center"/>
        <w:outlineLvl w:val="0"/>
        <w:rPr>
          <w:rFonts w:ascii="仿宋" w:hAnsi="仿宋" w:eastAsia="仿宋" w:cs="仿宋"/>
          <w:sz w:val="30"/>
          <w:szCs w:val="30"/>
          <w:u w:val="single"/>
        </w:rPr>
      </w:pPr>
      <w:bookmarkStart w:id="8" w:name="_Toc12159"/>
      <w:r>
        <w:rPr>
          <w:rFonts w:hint="eastAsia" w:ascii="华文中宋" w:hAnsi="华文中宋" w:eastAsia="华文中宋" w:cs="仿宋"/>
          <w:b/>
          <w:bCs/>
          <w:sz w:val="30"/>
          <w:szCs w:val="30"/>
          <w:u w:val="single"/>
        </w:rPr>
        <w:t>第二章 供应商须知正文</w:t>
      </w:r>
      <w:bookmarkEnd w:id="8"/>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24"/>
        <w:spacing w:before="120" w:after="120" w:line="312"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25"/>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25"/>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25"/>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25"/>
        <w:spacing w:line="312"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1.7踏勘现场（本项目不组织踏勘现场）</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1.8采购预备会（本项目不组织采购预备会）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1.9主要材料和关键部件外购</w:t>
      </w:r>
    </w:p>
    <w:p>
      <w:pPr>
        <w:spacing w:line="312" w:lineRule="auto"/>
        <w:ind w:firstLine="453" w:firstLineChars="189"/>
        <w:jc w:val="both"/>
      </w:pPr>
      <w:r>
        <w:rPr>
          <w:rFonts w:hint="eastAsia" w:ascii="宋体" w:hAnsi="宋体" w:cs="仿宋"/>
          <w:sz w:val="24"/>
        </w:rPr>
        <w:t>供应商拟对主要材料和关键部件进行外购的，应符合第五章“采购需求”中提出的或允许外购的相关规定，并在响应文件中作出说明。</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(1)响应函;</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(2)授权委托书(如有);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(3)商务和技术偏差表;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(4)报价表;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(5)资格审查资料;</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(6)响应方案;</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w:t>
      </w:r>
      <w:r>
        <w:rPr>
          <w:rFonts w:ascii="宋体" w:hAnsi="宋体" w:cs="仿宋"/>
          <w:sz w:val="24"/>
        </w:rPr>
        <w:t>"</w:t>
      </w:r>
      <w:r>
        <w:rPr>
          <w:rFonts w:hint="eastAsia" w:ascii="宋体" w:hAnsi="宋体" w:cs="仿宋"/>
          <w:sz w:val="24"/>
        </w:rPr>
        <w:t>第</w:t>
      </w:r>
      <w:r>
        <w:rPr>
          <w:rFonts w:ascii="宋体" w:hAnsi="宋体" w:cs="仿宋"/>
          <w:sz w:val="24"/>
        </w:rPr>
        <w:t>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3.4响应保证金（本项目不提交响应保证金）</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color w:val="FF0000"/>
          <w:sz w:val="24"/>
        </w:rPr>
      </w:pPr>
      <w:r>
        <w:rPr>
          <w:rFonts w:hint="eastAsia" w:ascii="宋体" w:hAnsi="宋体" w:cs="仿宋"/>
          <w:sz w:val="24"/>
        </w:rPr>
        <w:t>采购人在本章第</w:t>
      </w:r>
      <w:r>
        <w:rPr>
          <w:rFonts w:ascii="宋体" w:hAnsi="宋体" w:cs="仿宋"/>
          <w:sz w:val="24"/>
        </w:rPr>
        <w:t>4.2.1项规定的递交响应文件的截止时间和地点公开开启响应文件，并邀请所有供应商的法定代表人(单位负责人)或其授权的代理人参加开启会议，供应商未派代表参加的，视为默认开启结果</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spacing w:line="312" w:lineRule="auto"/>
        <w:ind w:firstLine="453" w:firstLineChars="189"/>
        <w:jc w:val="both"/>
      </w:pPr>
      <w:r>
        <w:rPr>
          <w:rFonts w:hint="eastAsia" w:ascii="宋体" w:hAnsi="宋体" w:cs="仿宋"/>
          <w:sz w:val="24"/>
        </w:rPr>
        <w:t>(2)开启会议结束。</w:t>
      </w:r>
    </w:p>
    <w:p>
      <w:pPr>
        <w:adjustRightInd w:val="0"/>
        <w:snapToGrid w:val="0"/>
        <w:spacing w:line="312" w:lineRule="auto"/>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rPr>
      </w:pPr>
      <w:r>
        <w:rPr>
          <w:rFonts w:hint="eastAsia" w:ascii="宋体" w:hAnsi="宋体" w:cs="仿宋"/>
          <w:b/>
          <w:bCs/>
          <w:sz w:val="24"/>
        </w:rPr>
        <w:t>6评审</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（1）供应商主要负责人或供应商主要负责人的近亲属;</w:t>
      </w:r>
    </w:p>
    <w:p>
      <w:pPr>
        <w:pStyle w:val="2"/>
      </w:pP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sz w:val="24"/>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公示</w:t>
      </w:r>
    </w:p>
    <w:p>
      <w:pPr>
        <w:pStyle w:val="2"/>
      </w:pPr>
      <w:r>
        <w:rPr>
          <w:rFonts w:hint="eastAsia" w:hAnsi="宋体" w:cs="宋体"/>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r>
        <w:rPr>
          <w:rFonts w:hint="eastAsia" w:ascii="宋体" w:hAnsi="宋体" w:cs="宋体"/>
          <w:b/>
          <w:bCs/>
          <w:sz w:val="24"/>
        </w:rPr>
        <w:t xml:space="preserve">7.3成交结果异议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7.6履约保证金（本项目不要求递交履约保证金）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12" w:lineRule="auto"/>
        <w:jc w:val="both"/>
        <w:rPr>
          <w:rFonts w:ascii="宋体" w:hAnsi="宋体" w:cs="仿宋"/>
          <w:sz w:val="24"/>
        </w:rPr>
      </w:pPr>
      <w:r>
        <w:rPr>
          <w:rFonts w:hint="eastAsia" w:ascii="宋体" w:hAnsi="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b/>
          <w:bCs/>
          <w:sz w:val="24"/>
        </w:rPr>
      </w:pPr>
      <w:r>
        <w:rPr>
          <w:rFonts w:hint="eastAsia" w:ascii="宋体" w:hAnsi="宋体" w:cs="仿宋"/>
          <w:b/>
          <w:bCs/>
          <w:sz w:val="24"/>
        </w:rPr>
        <w:t>10.1其他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pStyle w:val="2"/>
        <w:rPr>
          <w:rFonts w:hAnsi="宋体" w:cs="仿宋"/>
          <w:b/>
          <w:bCs/>
          <w:u w:val="single"/>
        </w:rPr>
      </w:pPr>
    </w:p>
    <w:p>
      <w:pPr>
        <w:pStyle w:val="2"/>
        <w:rPr>
          <w:rFonts w:hAnsi="宋体" w:cs="仿宋"/>
          <w:b/>
          <w:bCs/>
          <w:u w:val="single"/>
        </w:rPr>
      </w:pPr>
    </w:p>
    <w:p>
      <w:pPr>
        <w:pStyle w:val="2"/>
        <w:rPr>
          <w:rFonts w:hAnsi="宋体" w:cs="仿宋"/>
          <w:b/>
          <w:bCs/>
          <w:u w:val="single"/>
        </w:rPr>
      </w:pPr>
    </w:p>
    <w:p>
      <w:pPr>
        <w:pStyle w:val="2"/>
        <w:rPr>
          <w:rFonts w:hAnsi="宋体" w:cs="仿宋"/>
          <w:b/>
          <w:bCs/>
          <w:u w:val="single"/>
        </w:rPr>
      </w:pPr>
    </w:p>
    <w:p>
      <w:pPr>
        <w:spacing w:line="312" w:lineRule="auto"/>
        <w:jc w:val="both"/>
        <w:rPr>
          <w:rFonts w:ascii="宋体" w:hAnsi="宋体" w:cs="仿宋"/>
          <w:sz w:val="30"/>
          <w:szCs w:val="30"/>
        </w:rPr>
      </w:pPr>
      <w:r>
        <w:rPr>
          <w:rFonts w:hint="eastAsia" w:ascii="宋体" w:hAnsi="宋体" w:cs="仿宋"/>
          <w:sz w:val="30"/>
          <w:szCs w:val="30"/>
        </w:rPr>
        <w:t>附件1  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17"/>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pStyle w:val="2"/>
        <w:rPr>
          <w:rFonts w:hAnsi="宋体" w:cs="仿宋"/>
          <w:sz w:val="30"/>
          <w:szCs w:val="30"/>
        </w:rPr>
      </w:pPr>
    </w:p>
    <w:p>
      <w:pPr>
        <w:pStyle w:val="2"/>
        <w:rPr>
          <w:rFonts w:hAnsi="宋体" w:cs="仿宋"/>
          <w:sz w:val="30"/>
          <w:szCs w:val="30"/>
        </w:rPr>
      </w:pPr>
    </w:p>
    <w:p>
      <w:pPr>
        <w:pStyle w:val="2"/>
        <w:rPr>
          <w:rFonts w:hAnsi="宋体" w:cs="仿宋"/>
          <w:sz w:val="30"/>
          <w:szCs w:val="30"/>
        </w:rPr>
      </w:pPr>
    </w:p>
    <w:p>
      <w:pPr>
        <w:pStyle w:val="2"/>
        <w:rPr>
          <w:rFonts w:hAnsi="宋体" w:cs="仿宋"/>
          <w:sz w:val="30"/>
          <w:szCs w:val="30"/>
        </w:rPr>
      </w:pPr>
    </w:p>
    <w:p>
      <w:pPr>
        <w:pStyle w:val="2"/>
        <w:rPr>
          <w:rFonts w:hAnsi="宋体" w:cs="仿宋"/>
          <w:sz w:val="30"/>
          <w:szCs w:val="30"/>
        </w:rPr>
      </w:pPr>
    </w:p>
    <w:p>
      <w:pPr>
        <w:adjustRightInd w:val="0"/>
        <w:snapToGrid w:val="0"/>
        <w:spacing w:line="600" w:lineRule="exact"/>
        <w:ind w:firstLine="600" w:firstLineChars="200"/>
        <w:rPr>
          <w:rFonts w:ascii="宋体" w:hAnsi="宋体" w:cs="仿宋"/>
          <w:sz w:val="30"/>
          <w:szCs w:val="30"/>
        </w:rPr>
      </w:pPr>
    </w:p>
    <w:p>
      <w:pPr>
        <w:adjustRightInd w:val="0"/>
        <w:snapToGrid w:val="0"/>
        <w:spacing w:line="600" w:lineRule="exact"/>
        <w:ind w:firstLine="600" w:firstLineChars="200"/>
        <w:rPr>
          <w:rFonts w:ascii="宋体" w:hAnsi="宋体" w:cs="仿宋"/>
          <w:sz w:val="30"/>
          <w:szCs w:val="30"/>
        </w:rPr>
      </w:pP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600" w:lineRule="exact"/>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rPr>
          <w:rFonts w:ascii="宋体" w:hAnsi="宋体" w:cs="仿宋"/>
          <w:sz w:val="30"/>
          <w:szCs w:val="30"/>
        </w:rPr>
      </w:pPr>
      <w:r>
        <w:rPr>
          <w:rFonts w:hint="eastAsia" w:ascii="宋体" w:hAnsi="宋体" w:cs="仿宋"/>
          <w:sz w:val="30"/>
          <w:szCs w:val="30"/>
        </w:rPr>
        <w:t>附件3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4320" w:firstLineChars="1800"/>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 xml:space="preserve">(签字)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600" w:lineRule="exact"/>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3360" w:firstLineChars="1400"/>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4800" w:firstLineChars="2000"/>
        <w:jc w:val="both"/>
        <w:rPr>
          <w:rFonts w:ascii="仿宋" w:hAnsi="仿宋" w:eastAsia="仿宋" w:cs="仿宋"/>
          <w:sz w:val="30"/>
          <w:szCs w:val="30"/>
        </w:rPr>
      </w:pP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pStyle w:val="2"/>
        <w:ind w:firstLine="0"/>
        <w:rPr>
          <w:rFonts w:hAnsi="宋体" w:cs="仿宋"/>
        </w:rPr>
      </w:pP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23"/>
        <w:adjustRightInd w:val="0"/>
        <w:snapToGrid w:val="0"/>
        <w:spacing w:line="600" w:lineRule="exact"/>
        <w:ind w:firstLine="6240" w:firstLineChars="2600"/>
        <w:jc w:val="center"/>
        <w:rPr>
          <w:rFonts w:cs="仿宋"/>
        </w:rPr>
      </w:pP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rPr>
        <w:t>日</w:t>
      </w:r>
      <w:r>
        <w:rPr>
          <w:rFonts w:hint="eastAsia" w:cs="仿宋"/>
        </w:rPr>
        <w:br w:type="page"/>
      </w:r>
    </w:p>
    <w:p>
      <w:pPr>
        <w:adjustRightInd w:val="0"/>
        <w:snapToGrid w:val="0"/>
        <w:spacing w:line="600" w:lineRule="exact"/>
        <w:jc w:val="center"/>
        <w:outlineLvl w:val="0"/>
        <w:rPr>
          <w:rFonts w:ascii="黑体" w:hAnsi="黑体" w:eastAsia="黑体" w:cs="仿宋"/>
          <w:bCs/>
          <w:sz w:val="36"/>
          <w:szCs w:val="36"/>
        </w:rPr>
      </w:pPr>
      <w:bookmarkStart w:id="9" w:name="_Toc27443"/>
      <w:r>
        <w:rPr>
          <w:rFonts w:hint="eastAsia" w:ascii="黑体" w:hAnsi="黑体" w:eastAsia="黑体" w:cs="仿宋"/>
          <w:bCs/>
          <w:sz w:val="36"/>
          <w:szCs w:val="36"/>
        </w:rPr>
        <w:t>第三章 评审办法</w:t>
      </w:r>
      <w:bookmarkEnd w:id="9"/>
    </w:p>
    <w:p>
      <w:pPr>
        <w:adjustRightInd w:val="0"/>
        <w:snapToGrid w:val="0"/>
        <w:spacing w:before="120" w:beforeLines="50" w:after="120" w:afterLines="50" w:line="312"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17"/>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55"/>
        <w:gridCol w:w="1452"/>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327" w:type="dxa"/>
            <w:gridSpan w:val="2"/>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条款号及名称</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评审因素</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7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1</w:t>
            </w:r>
          </w:p>
        </w:tc>
        <w:tc>
          <w:tcPr>
            <w:tcW w:w="1155"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评审方法</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评审方法</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exact"/>
        </w:trPr>
        <w:tc>
          <w:tcPr>
            <w:tcW w:w="1172"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2.1.1</w:t>
            </w:r>
          </w:p>
        </w:tc>
        <w:tc>
          <w:tcPr>
            <w:tcW w:w="1155"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形式评审标准</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供应商名称</w:t>
            </w:r>
          </w:p>
        </w:tc>
        <w:tc>
          <w:tcPr>
            <w:tcW w:w="4983" w:type="dxa"/>
            <w:vAlign w:val="center"/>
          </w:tcPr>
          <w:p>
            <w:pPr>
              <w:widowControl w:val="0"/>
              <w:adjustRightInd w:val="0"/>
              <w:spacing w:after="0" w:line="360" w:lineRule="auto"/>
              <w:jc w:val="left"/>
              <w:rPr>
                <w:rFonts w:ascii="宋体" w:hAnsi="宋体"/>
                <w:color w:val="000000"/>
                <w:sz w:val="21"/>
                <w:szCs w:val="21"/>
                <w:highlight w:val="none"/>
              </w:rPr>
            </w:pPr>
            <w:r>
              <w:rPr>
                <w:rFonts w:ascii="宋体" w:hAnsi="宋体"/>
                <w:color w:val="000000"/>
                <w:sz w:val="21"/>
                <w:szCs w:val="21"/>
                <w:highlight w:val="none"/>
              </w:rPr>
              <w:t>1</w:t>
            </w:r>
            <w:r>
              <w:rPr>
                <w:rFonts w:hint="eastAsia" w:ascii="宋体" w:hAnsi="宋体"/>
                <w:color w:val="000000"/>
                <w:sz w:val="21"/>
                <w:szCs w:val="21"/>
                <w:highlight w:val="none"/>
                <w:lang w:val="en-US" w:eastAsia="zh-CN"/>
              </w:rPr>
              <w:t>.</w:t>
            </w:r>
            <w:r>
              <w:rPr>
                <w:rFonts w:ascii="宋体" w:hAnsi="宋体"/>
                <w:color w:val="000000"/>
                <w:sz w:val="21"/>
                <w:szCs w:val="21"/>
                <w:highlight w:val="none"/>
              </w:rPr>
              <w:t>与营业执照、资质证书一致；</w:t>
            </w:r>
          </w:p>
          <w:p>
            <w:pPr>
              <w:widowControl/>
              <w:adjustRightInd w:val="0"/>
              <w:snapToGrid w:val="0"/>
              <w:spacing w:line="288" w:lineRule="auto"/>
              <w:jc w:val="left"/>
              <w:rPr>
                <w:rFonts w:ascii="宋体" w:hAnsi="宋体" w:cs="宋体"/>
                <w:sz w:val="24"/>
              </w:rPr>
            </w:pPr>
            <w:r>
              <w:rPr>
                <w:rFonts w:ascii="宋体" w:hAnsi="宋体"/>
                <w:color w:val="000000"/>
                <w:sz w:val="21"/>
                <w:szCs w:val="21"/>
                <w:highlight w:val="none"/>
              </w:rPr>
              <w:t>2</w:t>
            </w:r>
            <w:r>
              <w:rPr>
                <w:rFonts w:hint="eastAsia" w:ascii="宋体" w:hAnsi="宋体"/>
                <w:color w:val="000000"/>
                <w:sz w:val="21"/>
                <w:szCs w:val="21"/>
                <w:highlight w:val="none"/>
                <w:lang w:val="en-US" w:eastAsia="zh-CN"/>
              </w:rPr>
              <w:t>.</w:t>
            </w:r>
            <w:r>
              <w:rPr>
                <w:rFonts w:ascii="宋体" w:hAnsi="宋体"/>
                <w:color w:val="000000"/>
                <w:sz w:val="21"/>
                <w:szCs w:val="21"/>
                <w:highlight w:val="none"/>
              </w:rPr>
              <w:t>若法人名称发生变更，应提供相关部门的合法批件及企业法人营业执照和资质证书的副本变更记录复印件。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响应文件签字盖章</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响应函中实质性内容</w:t>
            </w:r>
          </w:p>
        </w:tc>
        <w:tc>
          <w:tcPr>
            <w:tcW w:w="4983" w:type="dxa"/>
            <w:vAlign w:val="center"/>
          </w:tcPr>
          <w:p>
            <w:pPr>
              <w:widowControl/>
              <w:adjustRightInd w:val="0"/>
              <w:snapToGrid w:val="0"/>
              <w:spacing w:line="288" w:lineRule="auto"/>
              <w:jc w:val="both"/>
              <w:rPr>
                <w:rFonts w:ascii="宋体" w:hAnsi="宋体" w:cs="宋体"/>
                <w:sz w:val="24"/>
              </w:rPr>
            </w:pPr>
            <w:r>
              <w:rPr>
                <w:rFonts w:hint="eastAsia" w:cs="仿宋" w:asciiTheme="minorEastAsia" w:hAnsiTheme="minorEastAsia" w:eastAsiaTheme="minorEastAsia"/>
                <w:szCs w:val="21"/>
                <w:highlight w:val="none"/>
                <w:lang w:eastAsia="zh-CN"/>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1172"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2.1.2</w:t>
            </w:r>
          </w:p>
        </w:tc>
        <w:tc>
          <w:tcPr>
            <w:tcW w:w="1155"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资格评审标准</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依法设立</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color w:val="000000"/>
                <w:sz w:val="24"/>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资质要求</w:t>
            </w:r>
          </w:p>
        </w:tc>
        <w:tc>
          <w:tcPr>
            <w:tcW w:w="4983" w:type="dxa"/>
            <w:vAlign w:val="center"/>
          </w:tcPr>
          <w:p>
            <w:pPr>
              <w:widowControl w:val="0"/>
              <w:spacing w:line="288" w:lineRule="auto"/>
              <w:jc w:val="both"/>
              <w:rPr>
                <w:rFonts w:ascii="宋体" w:hAnsi="宋体" w:cs="宋体"/>
                <w:sz w:val="24"/>
              </w:rPr>
            </w:pPr>
            <w:r>
              <w:rPr>
                <w:rFonts w:hint="eastAsia" w:cs="仿宋" w:asciiTheme="minorEastAsia" w:hAnsiTheme="minorEastAsia" w:eastAsiaTheme="minorEastAsia"/>
                <w:sz w:val="21"/>
                <w:szCs w:val="21"/>
                <w:highlight w:val="none"/>
              </w:rPr>
              <w:t>符合第一章第3.1款及供应商须知前附表第3.5（</w:t>
            </w:r>
            <w:r>
              <w:rPr>
                <w:rFonts w:hint="eastAsia" w:cs="仿宋" w:asciiTheme="minorEastAsia" w:hAnsiTheme="minorEastAsia" w:eastAsiaTheme="minorEastAsia"/>
                <w:sz w:val="21"/>
                <w:szCs w:val="21"/>
                <w:highlight w:val="none"/>
                <w:lang w:val="en-US" w:eastAsia="zh-CN"/>
              </w:rPr>
              <w:t>2</w:t>
            </w:r>
            <w:r>
              <w:rPr>
                <w:rFonts w:hint="eastAsia" w:cs="仿宋" w:asciiTheme="minorEastAsia" w:hAnsiTheme="minorEastAsia" w:eastAsiaTheme="minorEastAsia"/>
                <w:sz w:val="21"/>
                <w:szCs w:val="21"/>
                <w:highlight w:val="none"/>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财务要求</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color w:val="000000"/>
                <w:sz w:val="24"/>
              </w:rPr>
              <w:sym w:font="Wingdings 2" w:char="0052"/>
            </w:r>
            <w:r>
              <w:rPr>
                <w:rFonts w:hint="eastAsia" w:ascii="宋体" w:hAnsi="宋体" w:cs="宋体"/>
                <w:color w:val="000000"/>
                <w:sz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业绩要求</w:t>
            </w:r>
          </w:p>
        </w:tc>
        <w:tc>
          <w:tcPr>
            <w:tcW w:w="4983" w:type="dxa"/>
            <w:vAlign w:val="center"/>
          </w:tcPr>
          <w:p>
            <w:pPr>
              <w:widowControl w:val="0"/>
              <w:spacing w:line="288" w:lineRule="auto"/>
              <w:jc w:val="both"/>
              <w:rPr>
                <w:rFonts w:ascii="宋体" w:hAnsi="宋体" w:cs="宋体"/>
                <w:sz w:val="24"/>
              </w:rPr>
            </w:pPr>
            <w:r>
              <w:rPr>
                <w:rFonts w:hint="eastAsia" w:cs="仿宋" w:asciiTheme="minorEastAsia" w:hAnsiTheme="minorEastAsia" w:eastAsiaTheme="minorEastAsia"/>
                <w:sz w:val="21"/>
                <w:szCs w:val="21"/>
                <w:highlight w:val="none"/>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人员要求</w:t>
            </w:r>
          </w:p>
        </w:tc>
        <w:tc>
          <w:tcPr>
            <w:tcW w:w="4983" w:type="dxa"/>
            <w:vAlign w:val="center"/>
          </w:tcPr>
          <w:p>
            <w:pPr>
              <w:widowControl/>
              <w:adjustRightInd w:val="0"/>
              <w:snapToGrid w:val="0"/>
              <w:spacing w:line="288" w:lineRule="auto"/>
              <w:jc w:val="center"/>
              <w:rPr>
                <w:rFonts w:ascii="宋体" w:hAnsi="宋体" w:cs="宋体"/>
                <w:sz w:val="24"/>
              </w:rPr>
            </w:pPr>
            <w:r>
              <w:rPr>
                <w:rFonts w:hint="eastAsia" w:cs="仿宋" w:asciiTheme="minorEastAsia" w:hAnsiTheme="minorEastAsia" w:eastAsiaTheme="minorEastAsia"/>
                <w:sz w:val="21"/>
                <w:szCs w:val="21"/>
                <w:highlight w:val="none"/>
              </w:rPr>
              <w:t>符合第一章第3.1款及供应商须知前附表第3.5（</w:t>
            </w:r>
            <w:r>
              <w:rPr>
                <w:rFonts w:hint="eastAsia" w:cs="仿宋" w:asciiTheme="minorEastAsia" w:hAnsiTheme="minorEastAsia" w:eastAsiaTheme="minorEastAsia"/>
                <w:sz w:val="21"/>
                <w:szCs w:val="21"/>
                <w:highlight w:val="none"/>
                <w:lang w:val="en-US" w:eastAsia="zh-CN"/>
              </w:rPr>
              <w:t>6</w:t>
            </w:r>
            <w:r>
              <w:rPr>
                <w:rFonts w:hint="eastAsia" w:cs="仿宋" w:asciiTheme="minorEastAsia" w:hAnsiTheme="minorEastAsia" w:eastAsiaTheme="minorEastAsia"/>
                <w:sz w:val="21"/>
                <w:szCs w:val="21"/>
                <w:highlight w:val="none"/>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不存在第一章第3.</w:t>
            </w:r>
            <w:r>
              <w:rPr>
                <w:rFonts w:hint="eastAsia" w:ascii="宋体" w:hAnsi="宋体" w:cs="宋体"/>
                <w:sz w:val="24"/>
                <w:lang w:val="en-US" w:eastAsia="zh-CN"/>
              </w:rPr>
              <w:t>1</w:t>
            </w:r>
            <w:r>
              <w:rPr>
                <w:rFonts w:hint="eastAsia" w:ascii="宋体" w:hAnsi="宋体" w:cs="宋体"/>
                <w:sz w:val="24"/>
              </w:rPr>
              <w:t>款情形</w:t>
            </w:r>
          </w:p>
        </w:tc>
        <w:tc>
          <w:tcPr>
            <w:tcW w:w="4983" w:type="dxa"/>
            <w:vAlign w:val="center"/>
          </w:tcPr>
          <w:p>
            <w:pPr>
              <w:widowControl/>
              <w:adjustRightInd w:val="0"/>
              <w:snapToGrid w:val="0"/>
              <w:spacing w:line="288" w:lineRule="auto"/>
              <w:jc w:val="left"/>
              <w:rPr>
                <w:rFonts w:ascii="宋体" w:hAnsi="宋体" w:cs="宋体"/>
                <w:sz w:val="24"/>
              </w:rPr>
            </w:pPr>
            <w:r>
              <w:rPr>
                <w:rFonts w:hint="eastAsia" w:cs="仿宋" w:asciiTheme="minorEastAsia" w:hAnsiTheme="minorEastAsia" w:eastAsiaTheme="minorEastAsia"/>
                <w:sz w:val="21"/>
                <w:szCs w:val="21"/>
                <w:highlight w:val="none"/>
              </w:rPr>
              <w:t>符合第一章第3.1款及供应商须知前附表第3.5（</w:t>
            </w:r>
            <w:r>
              <w:rPr>
                <w:rFonts w:hint="eastAsia" w:cs="仿宋" w:asciiTheme="minorEastAsia" w:hAnsiTheme="minorEastAsia" w:eastAsiaTheme="minorEastAsia"/>
                <w:sz w:val="21"/>
                <w:szCs w:val="21"/>
                <w:highlight w:val="none"/>
                <w:lang w:val="en-US" w:eastAsia="zh-CN"/>
              </w:rPr>
              <w:t>8</w:t>
            </w:r>
            <w:r>
              <w:rPr>
                <w:rFonts w:hint="eastAsia" w:cs="仿宋" w:asciiTheme="minorEastAsia" w:hAnsiTheme="minorEastAsia" w:eastAsiaTheme="minorEastAsia"/>
                <w:sz w:val="21"/>
                <w:szCs w:val="21"/>
                <w:highlight w:val="none"/>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2.1.3</w:t>
            </w:r>
          </w:p>
        </w:tc>
        <w:tc>
          <w:tcPr>
            <w:tcW w:w="1155"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响应性评审标准</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报价</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响应文件有效期</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响应方案</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质量标准</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完成期限</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sz w:val="24"/>
              </w:rPr>
              <w:t>合同签订，进场开工后25日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合同条款</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对非关键条款的偏差</w:t>
            </w:r>
          </w:p>
        </w:tc>
        <w:tc>
          <w:tcPr>
            <w:tcW w:w="4983" w:type="dxa"/>
            <w:vAlign w:val="center"/>
          </w:tcPr>
          <w:p>
            <w:pPr>
              <w:widowControl w:val="0"/>
              <w:spacing w:line="288" w:lineRule="auto"/>
              <w:jc w:val="left"/>
              <w:rPr>
                <w:rFonts w:ascii="宋体" w:hAnsi="宋体" w:cs="宋体"/>
                <w:sz w:val="24"/>
              </w:rPr>
            </w:pPr>
            <w:r>
              <w:rPr>
                <w:rFonts w:hint="eastAsia" w:ascii="宋体" w:hAnsi="宋体" w:cs="宋体"/>
                <w:sz w:val="24"/>
              </w:rPr>
              <w:t>允许偏差的范围：细微偏差</w:t>
            </w:r>
          </w:p>
          <w:p>
            <w:pPr>
              <w:widowControl/>
              <w:adjustRightInd w:val="0"/>
              <w:snapToGrid w:val="0"/>
              <w:spacing w:line="288" w:lineRule="auto"/>
              <w:jc w:val="left"/>
              <w:rPr>
                <w:rFonts w:ascii="宋体" w:hAnsi="宋体" w:cs="宋体"/>
                <w:sz w:val="24"/>
              </w:rPr>
            </w:pPr>
            <w:r>
              <w:rPr>
                <w:rFonts w:hint="eastAsia" w:ascii="宋体" w:hAnsi="宋体" w:cs="宋体"/>
                <w:sz w:val="24"/>
              </w:rPr>
              <w:t>允许偏差的项数：</w:t>
            </w:r>
            <w:r>
              <w:rPr>
                <w:rFonts w:hint="eastAsia" w:ascii="宋体" w:hAnsi="宋体" w:cs="宋体"/>
                <w:sz w:val="24"/>
                <w:u w:val="single"/>
              </w:rPr>
              <w:t>2项</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2.2.2</w:t>
            </w:r>
          </w:p>
        </w:tc>
        <w:tc>
          <w:tcPr>
            <w:tcW w:w="1155" w:type="dxa"/>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评审价格</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762" w:type="dxa"/>
            <w:gridSpan w:val="4"/>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27" w:type="dxa"/>
            <w:gridSpan w:val="2"/>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条款号</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条款内容</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327" w:type="dxa"/>
            <w:gridSpan w:val="2"/>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3</w:t>
            </w:r>
          </w:p>
        </w:tc>
        <w:tc>
          <w:tcPr>
            <w:tcW w:w="1452" w:type="dxa"/>
            <w:vAlign w:val="center"/>
          </w:tcPr>
          <w:p>
            <w:pPr>
              <w:widowControl w:val="0"/>
              <w:spacing w:line="288" w:lineRule="auto"/>
              <w:jc w:val="center"/>
              <w:rPr>
                <w:rFonts w:ascii="宋体" w:hAnsi="宋体" w:cs="宋体"/>
                <w:sz w:val="24"/>
              </w:rPr>
            </w:pPr>
            <w:r>
              <w:rPr>
                <w:rFonts w:hint="eastAsia" w:ascii="宋体" w:hAnsi="宋体" w:cs="宋体"/>
                <w:sz w:val="24"/>
              </w:rPr>
              <w:t>报价</w:t>
            </w:r>
          </w:p>
        </w:tc>
        <w:tc>
          <w:tcPr>
            <w:tcW w:w="4983" w:type="dxa"/>
            <w:vAlign w:val="center"/>
          </w:tcPr>
          <w:p>
            <w:pPr>
              <w:widowControl w:val="0"/>
              <w:adjustRightInd w:val="0"/>
              <w:snapToGrid w:val="0"/>
              <w:spacing w:line="288" w:lineRule="auto"/>
              <w:jc w:val="center"/>
              <w:rPr>
                <w:rFonts w:ascii="宋体" w:hAnsi="宋体" w:cs="宋体"/>
                <w:sz w:val="24"/>
              </w:rPr>
            </w:pPr>
            <w:r>
              <w:rPr>
                <w:rFonts w:hint="eastAsia" w:ascii="宋体" w:hAnsi="宋体" w:cs="宋体"/>
                <w:sz w:val="24"/>
              </w:rPr>
              <w:t>根据2.2.2条规定，本项要求提供3%的增值税专用发票，超过最高限价的作废。如果报价人提供其他税率的增值税专用发票，招标人按3%的增值税税率调整报价后参与排序。</w:t>
            </w:r>
          </w:p>
        </w:tc>
      </w:tr>
    </w:tbl>
    <w:p>
      <w:pPr>
        <w:spacing w:line="288" w:lineRule="auto"/>
        <w:jc w:val="both"/>
        <w:rPr>
          <w:rFonts w:ascii="宋体" w:hAnsi="宋体" w:cs="宋体"/>
          <w:sz w:val="24"/>
        </w:rPr>
      </w:pPr>
    </w:p>
    <w:p>
      <w:pPr>
        <w:pStyle w:val="2"/>
        <w:spacing w:line="288" w:lineRule="auto"/>
        <w:ind w:firstLine="0"/>
        <w:jc w:val="both"/>
        <w:rPr>
          <w:rFonts w:hAnsi="宋体" w:cs="仿宋"/>
        </w:rPr>
      </w:pPr>
    </w:p>
    <w:p>
      <w:pPr>
        <w:pStyle w:val="2"/>
        <w:spacing w:line="288" w:lineRule="auto"/>
        <w:ind w:firstLine="0"/>
        <w:jc w:val="both"/>
        <w:rPr>
          <w:rFonts w:hAnsi="宋体" w:cs="仿宋"/>
        </w:rPr>
      </w:pPr>
    </w:p>
    <w:p>
      <w:pPr>
        <w:pStyle w:val="2"/>
        <w:spacing w:line="288" w:lineRule="auto"/>
        <w:ind w:firstLine="0"/>
        <w:jc w:val="both"/>
        <w:rPr>
          <w:rFonts w:hAnsi="宋体" w:cs="仿宋"/>
        </w:rPr>
      </w:pPr>
    </w:p>
    <w:p>
      <w:pPr>
        <w:pStyle w:val="2"/>
        <w:spacing w:line="288" w:lineRule="auto"/>
        <w:ind w:firstLine="0"/>
        <w:jc w:val="both"/>
        <w:rPr>
          <w:rFonts w:hAnsi="宋体" w:cs="仿宋"/>
        </w:rPr>
      </w:pPr>
    </w:p>
    <w:p>
      <w:pPr>
        <w:pStyle w:val="2"/>
        <w:spacing w:line="288" w:lineRule="auto"/>
        <w:ind w:firstLine="0"/>
        <w:jc w:val="both"/>
        <w:rPr>
          <w:rFonts w:hAnsi="宋体" w:cs="仿宋"/>
        </w:rPr>
      </w:pPr>
    </w:p>
    <w:p>
      <w:pPr>
        <w:pStyle w:val="2"/>
        <w:spacing w:line="288" w:lineRule="auto"/>
        <w:ind w:firstLine="0"/>
        <w:jc w:val="both"/>
        <w:rPr>
          <w:rFonts w:hAnsi="宋体" w:cs="仿宋"/>
        </w:rPr>
      </w:pPr>
    </w:p>
    <w:p>
      <w:pPr>
        <w:pStyle w:val="2"/>
        <w:spacing w:line="288" w:lineRule="auto"/>
        <w:ind w:firstLine="0"/>
        <w:jc w:val="both"/>
        <w:rPr>
          <w:rFonts w:hAnsi="宋体" w:cs="仿宋"/>
        </w:rPr>
      </w:pPr>
    </w:p>
    <w:p>
      <w:pPr>
        <w:rPr>
          <w:rFonts w:hAnsi="宋体" w:cs="仿宋"/>
        </w:rPr>
      </w:pPr>
      <w:r>
        <w:rPr>
          <w:rFonts w:hAnsi="宋体" w:cs="仿宋"/>
        </w:rPr>
        <w:br w:type="page"/>
      </w:r>
    </w:p>
    <w:p>
      <w:pPr>
        <w:pStyle w:val="2"/>
        <w:spacing w:line="288" w:lineRule="auto"/>
        <w:ind w:firstLine="0"/>
        <w:jc w:val="both"/>
        <w:rPr>
          <w:rFonts w:hAnsi="宋体" w:cs="仿宋"/>
        </w:rPr>
      </w:pPr>
    </w:p>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36"/>
          <w:szCs w:val="36"/>
        </w:rPr>
      </w:pP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r>
        <w:rPr>
          <w:rFonts w:hint="eastAsia" w:ascii="宋体" w:hAnsi="宋体" w:cs="宋体"/>
          <w:sz w:val="24"/>
        </w:rPr>
        <w:t>，</w:t>
      </w:r>
      <w:r>
        <w:rPr>
          <w:rFonts w:hint="eastAsia" w:ascii="宋体" w:hAnsi="宋体" w:cs="仿宋"/>
          <w:sz w:val="24"/>
        </w:rPr>
        <w:t>本项要求提供3%的增值税专用发票，超过最高限价的作废。如果报价人提供其他税率的增值税专用发票，招标人按3%的增值税税率调整报价后参与排序。调整后的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r>
        <w:br w:type="page"/>
      </w:r>
    </w:p>
    <w:p>
      <w:pPr>
        <w:pStyle w:val="23"/>
        <w:spacing w:line="600" w:lineRule="exact"/>
        <w:ind w:firstLine="0" w:firstLineChars="0"/>
        <w:jc w:val="center"/>
        <w:outlineLvl w:val="0"/>
        <w:rPr>
          <w:rFonts w:ascii="黑体" w:hAnsi="黑体" w:eastAsia="黑体" w:cs="仿宋"/>
          <w:b/>
          <w:color w:val="000000"/>
          <w:sz w:val="36"/>
          <w:szCs w:val="36"/>
        </w:rPr>
      </w:pPr>
      <w:bookmarkStart w:id="10" w:name="_Toc9628"/>
      <w:r>
        <w:rPr>
          <w:rFonts w:hint="eastAsia" w:ascii="黑体" w:hAnsi="黑体" w:eastAsia="黑体" w:cs="仿宋"/>
          <w:b/>
          <w:color w:val="000000"/>
          <w:sz w:val="36"/>
          <w:szCs w:val="36"/>
        </w:rPr>
        <w:t>第四章  合同条款及格式</w:t>
      </w:r>
      <w:bookmarkEnd w:id="10"/>
    </w:p>
    <w:p/>
    <w:p>
      <w:pPr>
        <w:jc w:val="center"/>
      </w:pPr>
      <w:r>
        <w:rPr>
          <w:rFonts w:hint="eastAsia"/>
        </w:rPr>
        <w:t xml:space="preserve">                                               合同编号：</w:t>
      </w:r>
    </w:p>
    <w:p>
      <w:pPr>
        <w:pStyle w:val="2"/>
      </w:pPr>
    </w:p>
    <w:p>
      <w:pPr>
        <w:pStyle w:val="2"/>
      </w:pPr>
    </w:p>
    <w:p>
      <w:pPr>
        <w:pStyle w:val="2"/>
      </w:pPr>
    </w:p>
    <w:p>
      <w:pPr>
        <w:pStyle w:val="2"/>
      </w:pPr>
    </w:p>
    <w:p>
      <w:pPr>
        <w:pStyle w:val="2"/>
      </w:pPr>
    </w:p>
    <w:p>
      <w:pPr>
        <w:widowControl w:val="0"/>
        <w:adjustRightInd w:val="0"/>
        <w:snapToGrid w:val="0"/>
        <w:spacing w:line="360" w:lineRule="auto"/>
        <w:jc w:val="center"/>
        <w:rPr>
          <w:rFonts w:ascii="黑体" w:hAnsi="黑体" w:eastAsia="黑体"/>
          <w:bCs/>
          <w:color w:val="000000"/>
          <w:sz w:val="32"/>
          <w:szCs w:val="32"/>
        </w:rPr>
      </w:pPr>
      <w:r>
        <w:rPr>
          <w:rFonts w:hint="eastAsia" w:ascii="黑体" w:hAnsi="黑体" w:eastAsia="黑体" w:cs="黑体"/>
          <w:bCs/>
          <w:sz w:val="32"/>
          <w:szCs w:val="32"/>
        </w:rPr>
        <w:t xml:space="preserve">劳 务 外 包 </w:t>
      </w:r>
      <w:r>
        <w:rPr>
          <w:rFonts w:hint="eastAsia" w:ascii="黑体" w:hAnsi="黑体" w:eastAsia="黑体"/>
          <w:bCs/>
          <w:sz w:val="32"/>
          <w:szCs w:val="32"/>
        </w:rPr>
        <w:t>合 同</w:t>
      </w:r>
    </w:p>
    <w:p>
      <w:pPr>
        <w:spacing w:line="360" w:lineRule="auto"/>
        <w:jc w:val="both"/>
        <w:rPr>
          <w:b/>
          <w:bCs/>
          <w:sz w:val="44"/>
          <w:szCs w:val="44"/>
        </w:rPr>
      </w:pPr>
    </w:p>
    <w:p>
      <w:pPr>
        <w:spacing w:line="360" w:lineRule="auto"/>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keepNext w:val="0"/>
        <w:keepLines w:val="0"/>
        <w:pageBreakBefore w:val="0"/>
        <w:widowControl/>
        <w:kinsoku/>
        <w:wordWrap/>
        <w:overflowPunct/>
        <w:topLinePunct w:val="0"/>
        <w:autoSpaceDE/>
        <w:autoSpaceDN/>
        <w:bidi w:val="0"/>
        <w:spacing w:line="360" w:lineRule="auto"/>
        <w:rPr>
          <w:rFonts w:ascii="黑体" w:hAnsi="黑体" w:eastAsia="黑体"/>
          <w:sz w:val="32"/>
          <w:szCs w:val="32"/>
        </w:rPr>
      </w:pPr>
      <w:r>
        <w:rPr>
          <w:rFonts w:hint="eastAsia" w:ascii="黑体" w:hAnsi="黑体" w:eastAsia="黑体"/>
          <w:sz w:val="32"/>
          <w:szCs w:val="32"/>
        </w:rPr>
        <w:t>项目名称：</w:t>
      </w:r>
      <w:r>
        <w:rPr>
          <w:rFonts w:hint="eastAsia"/>
          <w:b/>
          <w:bCs/>
          <w:sz w:val="32"/>
          <w:szCs w:val="32"/>
        </w:rPr>
        <w:t>新港公司6#堆场内轨道基础梁两边排水沟砼盖板</w:t>
      </w:r>
      <w:r>
        <w:rPr>
          <w:rFonts w:hint="eastAsia" w:asciiTheme="majorEastAsia" w:hAnsiTheme="majorEastAsia" w:eastAsiaTheme="majorEastAsia" w:cstheme="majorEastAsia"/>
          <w:b/>
          <w:bCs/>
          <w:sz w:val="32"/>
          <w:szCs w:val="32"/>
        </w:rPr>
        <w:t>改造施工服务合同</w:t>
      </w:r>
    </w:p>
    <w:p>
      <w:pPr>
        <w:widowControl w:val="0"/>
        <w:snapToGrid w:val="0"/>
        <w:spacing w:line="240" w:lineRule="auto"/>
        <w:outlineLvl w:val="2"/>
        <w:rPr>
          <w:rFonts w:ascii="黑体" w:hAnsi="黑体" w:eastAsia="黑体"/>
          <w:sz w:val="32"/>
          <w:szCs w:val="32"/>
        </w:rPr>
      </w:pPr>
      <w:r>
        <w:rPr>
          <w:rFonts w:hint="eastAsia" w:ascii="黑体" w:hAnsi="黑体" w:eastAsia="黑体"/>
          <w:sz w:val="32"/>
          <w:szCs w:val="32"/>
        </w:rPr>
        <w:t>发</w:t>
      </w:r>
      <w:r>
        <w:rPr>
          <w:rFonts w:ascii="黑体" w:hAnsi="黑体" w:eastAsia="黑体"/>
          <w:sz w:val="32"/>
          <w:szCs w:val="32"/>
        </w:rPr>
        <w:t xml:space="preserve"> </w:t>
      </w:r>
      <w:r>
        <w:rPr>
          <w:rFonts w:hint="eastAsia" w:ascii="黑体" w:hAnsi="黑体" w:eastAsia="黑体"/>
          <w:sz w:val="32"/>
          <w:szCs w:val="32"/>
        </w:rPr>
        <w:t>包</w:t>
      </w:r>
      <w:r>
        <w:rPr>
          <w:rFonts w:ascii="黑体" w:hAnsi="黑体" w:eastAsia="黑体"/>
          <w:sz w:val="32"/>
          <w:szCs w:val="32"/>
        </w:rPr>
        <w:t xml:space="preserve"> </w:t>
      </w:r>
      <w:r>
        <w:rPr>
          <w:rFonts w:hint="eastAsia" w:ascii="黑体" w:hAnsi="黑体" w:eastAsia="黑体"/>
          <w:sz w:val="32"/>
          <w:szCs w:val="32"/>
        </w:rPr>
        <w:t>人：湖南港产科技有限公司</w:t>
      </w:r>
    </w:p>
    <w:p>
      <w:pPr>
        <w:widowControl w:val="0"/>
        <w:snapToGrid w:val="0"/>
        <w:spacing w:line="240" w:lineRule="auto"/>
        <w:rPr>
          <w:rFonts w:ascii="黑体" w:hAnsi="黑体" w:eastAsia="黑体"/>
          <w:sz w:val="32"/>
          <w:szCs w:val="32"/>
        </w:rPr>
      </w:pPr>
    </w:p>
    <w:p>
      <w:pPr>
        <w:widowControl w:val="0"/>
        <w:snapToGrid w:val="0"/>
        <w:spacing w:line="240" w:lineRule="auto"/>
        <w:outlineLvl w:val="2"/>
        <w:rPr>
          <w:rFonts w:ascii="黑体" w:hAnsi="黑体" w:eastAsia="黑体"/>
          <w:sz w:val="32"/>
          <w:szCs w:val="32"/>
        </w:rPr>
      </w:pPr>
      <w:r>
        <w:rPr>
          <w:rFonts w:hint="eastAsia" w:ascii="黑体" w:hAnsi="黑体" w:eastAsia="黑体"/>
          <w:sz w:val="32"/>
          <w:szCs w:val="32"/>
        </w:rPr>
        <w:t>承</w:t>
      </w:r>
      <w:r>
        <w:rPr>
          <w:rFonts w:ascii="黑体" w:hAnsi="黑体" w:eastAsia="黑体"/>
          <w:sz w:val="32"/>
          <w:szCs w:val="32"/>
        </w:rPr>
        <w:t xml:space="preserve"> </w:t>
      </w:r>
      <w:r>
        <w:rPr>
          <w:rFonts w:hint="eastAsia" w:ascii="黑体" w:hAnsi="黑体" w:eastAsia="黑体"/>
          <w:sz w:val="32"/>
          <w:szCs w:val="32"/>
        </w:rPr>
        <w:t>包</w:t>
      </w:r>
      <w:r>
        <w:rPr>
          <w:rFonts w:ascii="黑体" w:hAnsi="黑体" w:eastAsia="黑体"/>
          <w:sz w:val="32"/>
          <w:szCs w:val="32"/>
        </w:rPr>
        <w:t xml:space="preserve"> </w:t>
      </w:r>
      <w:r>
        <w:rPr>
          <w:rFonts w:hint="eastAsia" w:ascii="黑体" w:hAnsi="黑体" w:eastAsia="黑体"/>
          <w:sz w:val="32"/>
          <w:szCs w:val="32"/>
        </w:rPr>
        <w:t>人：</w:t>
      </w:r>
    </w:p>
    <w:p>
      <w:pPr>
        <w:widowControl w:val="0"/>
        <w:snapToGrid w:val="0"/>
        <w:spacing w:line="240" w:lineRule="auto"/>
        <w:rPr>
          <w:rFonts w:ascii="黑体" w:hAnsi="黑体" w:eastAsia="黑体"/>
          <w:sz w:val="32"/>
          <w:szCs w:val="32"/>
        </w:rPr>
      </w:pPr>
    </w:p>
    <w:p>
      <w:pPr>
        <w:widowControl w:val="0"/>
        <w:snapToGrid w:val="0"/>
        <w:spacing w:line="240" w:lineRule="auto"/>
        <w:rPr>
          <w:rFonts w:ascii="黑体" w:hAnsi="黑体" w:eastAsia="黑体"/>
          <w:sz w:val="32"/>
          <w:szCs w:val="32"/>
        </w:rPr>
      </w:pPr>
    </w:p>
    <w:p>
      <w:pPr>
        <w:widowControl w:val="0"/>
        <w:snapToGrid w:val="0"/>
        <w:spacing w:line="240" w:lineRule="auto"/>
        <w:outlineLvl w:val="2"/>
        <w:rPr>
          <w:rFonts w:ascii="黑体" w:hAnsi="黑体" w:eastAsia="黑体"/>
          <w:sz w:val="32"/>
          <w:szCs w:val="32"/>
        </w:rPr>
      </w:pPr>
      <w:r>
        <w:rPr>
          <w:rFonts w:hint="eastAsia" w:ascii="黑体" w:hAnsi="黑体" w:eastAsia="黑体"/>
          <w:sz w:val="32"/>
          <w:szCs w:val="32"/>
        </w:rPr>
        <w:t>签订日期：</w:t>
      </w:r>
      <w:r>
        <w:rPr>
          <w:rFonts w:ascii="黑体" w:hAnsi="黑体" w:eastAsia="黑体"/>
          <w:sz w:val="32"/>
          <w:szCs w:val="32"/>
        </w:rPr>
        <w:t>202</w:t>
      </w:r>
      <w:r>
        <w:rPr>
          <w:rFonts w:hint="eastAsia" w:ascii="黑体" w:hAnsi="黑体" w:eastAsia="黑体"/>
          <w:sz w:val="32"/>
          <w:szCs w:val="32"/>
        </w:rPr>
        <w:t>2年</w:t>
      </w:r>
      <w:r>
        <w:rPr>
          <w:rFonts w:ascii="黑体" w:hAnsi="黑体" w:eastAsia="黑体"/>
          <w:sz w:val="32"/>
          <w:szCs w:val="32"/>
        </w:rPr>
        <w:t xml:space="preserve">   </w:t>
      </w:r>
      <w:r>
        <w:rPr>
          <w:rFonts w:hint="eastAsia" w:ascii="黑体" w:hAnsi="黑体" w:eastAsia="黑体"/>
          <w:sz w:val="32"/>
          <w:szCs w:val="32"/>
        </w:rPr>
        <w:t>月</w:t>
      </w:r>
      <w:r>
        <w:rPr>
          <w:rFonts w:ascii="黑体" w:hAnsi="黑体" w:eastAsia="黑体"/>
          <w:sz w:val="32"/>
          <w:szCs w:val="32"/>
        </w:rPr>
        <w:t xml:space="preserve">   </w:t>
      </w:r>
      <w:r>
        <w:rPr>
          <w:rFonts w:hint="eastAsia" w:ascii="黑体" w:hAnsi="黑体" w:eastAsia="黑体"/>
          <w:sz w:val="32"/>
          <w:szCs w:val="32"/>
        </w:rPr>
        <w:t>日</w:t>
      </w:r>
    </w:p>
    <w:p>
      <w:pPr>
        <w:widowControl w:val="0"/>
        <w:snapToGrid w:val="0"/>
        <w:spacing w:line="240" w:lineRule="auto"/>
        <w:rPr>
          <w:rFonts w:ascii="黑体" w:hAnsi="黑体" w:eastAsia="黑体"/>
          <w:sz w:val="32"/>
          <w:szCs w:val="32"/>
          <w:u w:val="single"/>
        </w:rPr>
        <w:sectPr>
          <w:headerReference r:id="rId5" w:type="default"/>
          <w:footerReference r:id="rId6" w:type="default"/>
          <w:pgSz w:w="11900" w:h="16840"/>
          <w:pgMar w:top="1440" w:right="1800" w:bottom="1440" w:left="1800" w:header="720" w:footer="720" w:gutter="0"/>
          <w:cols w:space="720" w:num="1"/>
          <w:docGrid w:linePitch="286" w:charSpace="0"/>
        </w:sectPr>
      </w:pPr>
    </w:p>
    <w:p>
      <w:pPr>
        <w:keepNext w:val="0"/>
        <w:keepLines w:val="0"/>
        <w:pageBreakBefore w:val="0"/>
        <w:widowControl/>
        <w:kinsoku/>
        <w:wordWrap/>
        <w:overflowPunct/>
        <w:topLinePunct w:val="0"/>
        <w:autoSpaceDE/>
        <w:autoSpaceDN/>
        <w:bidi w:val="0"/>
        <w:spacing w:line="360" w:lineRule="auto"/>
        <w:rPr>
          <w:rFonts w:ascii="宋体" w:hAnsi="宋体" w:cs="宋体"/>
          <w:b/>
          <w:bCs/>
          <w:sz w:val="28"/>
          <w:szCs w:val="28"/>
        </w:rPr>
      </w:pPr>
      <w:r>
        <w:rPr>
          <w:rFonts w:hint="eastAsia" w:ascii="宋体" w:hAnsi="宋体" w:cs="宋体"/>
          <w:b/>
          <w:bCs/>
          <w:sz w:val="28"/>
          <w:szCs w:val="28"/>
        </w:rPr>
        <w:t>发包人：</w:t>
      </w:r>
      <w:r>
        <w:rPr>
          <w:rFonts w:hint="eastAsia" w:hAnsi="宋体" w:cs="宋体"/>
          <w:b/>
          <w:bCs/>
          <w:sz w:val="28"/>
          <w:szCs w:val="28"/>
        </w:rPr>
        <w:t xml:space="preserve">湖南港产科技有限公司 </w:t>
      </w:r>
      <w:r>
        <w:rPr>
          <w:rFonts w:hint="eastAsia" w:ascii="宋体" w:hAnsi="宋体" w:cs="宋体"/>
          <w:b/>
          <w:bCs/>
          <w:sz w:val="28"/>
          <w:szCs w:val="28"/>
        </w:rPr>
        <w:t xml:space="preserve">       </w:t>
      </w:r>
      <w:r>
        <w:rPr>
          <w:rFonts w:hint="eastAsia" w:ascii="宋体" w:hAnsi="宋体" w:cs="宋体"/>
          <w:b/>
          <w:bCs/>
          <w:color w:val="0D0D0D"/>
          <w:kern w:val="0"/>
          <w:sz w:val="28"/>
          <w:szCs w:val="28"/>
        </w:rPr>
        <w:t>(以下简称甲方)</w:t>
      </w:r>
      <w:r>
        <w:rPr>
          <w:rFonts w:hint="eastAsia" w:ascii="宋体" w:hAnsi="宋体" w:cs="宋体"/>
          <w:b/>
          <w:bCs/>
          <w:sz w:val="28"/>
          <w:szCs w:val="28"/>
        </w:rPr>
        <w:t xml:space="preserve">       </w:t>
      </w:r>
    </w:p>
    <w:p>
      <w:pPr>
        <w:pStyle w:val="2"/>
        <w:keepNext w:val="0"/>
        <w:keepLines w:val="0"/>
        <w:pageBreakBefore w:val="0"/>
        <w:widowControl/>
        <w:kinsoku/>
        <w:wordWrap/>
        <w:overflowPunct/>
        <w:topLinePunct w:val="0"/>
        <w:autoSpaceDE/>
        <w:autoSpaceDN/>
        <w:bidi w:val="0"/>
        <w:spacing w:line="360" w:lineRule="auto"/>
        <w:ind w:firstLine="0"/>
        <w:rPr>
          <w:rFonts w:asciiTheme="minorEastAsia" w:hAnsiTheme="minorEastAsia" w:eastAsiaTheme="minorEastAsia" w:cstheme="minorEastAsia"/>
          <w:sz w:val="24"/>
        </w:rPr>
      </w:pPr>
      <w:r>
        <w:rPr>
          <w:rFonts w:hint="eastAsia" w:hAnsi="宋体" w:cs="宋体"/>
          <w:b/>
          <w:bCs/>
          <w:sz w:val="28"/>
          <w:szCs w:val="28"/>
        </w:rPr>
        <w:t>承包人：</w:t>
      </w:r>
      <w:r>
        <w:rPr>
          <w:rFonts w:hint="eastAsia" w:hAnsi="宋体" w:cs="宋体"/>
          <w:sz w:val="28"/>
          <w:szCs w:val="28"/>
        </w:rPr>
        <w:t xml:space="preserve">     </w:t>
      </w:r>
      <w:r>
        <w:rPr>
          <w:rFonts w:hint="eastAsia" w:hAnsi="宋体" w:cs="宋体"/>
          <w:sz w:val="28"/>
          <w:szCs w:val="28"/>
          <w:lang w:val="en-US" w:eastAsia="zh-CN"/>
        </w:rPr>
        <w:t xml:space="preserve">                   </w:t>
      </w:r>
      <w:r>
        <w:rPr>
          <w:rFonts w:hint="eastAsia" w:hAnsi="宋体" w:cs="宋体"/>
          <w:sz w:val="28"/>
          <w:szCs w:val="28"/>
        </w:rPr>
        <w:t xml:space="preserve">    </w:t>
      </w:r>
      <w:r>
        <w:rPr>
          <w:rFonts w:hint="eastAsia" w:hAnsi="宋体" w:cs="宋体"/>
          <w:b/>
          <w:bCs/>
          <w:color w:val="0D0D0D"/>
          <w:kern w:val="0"/>
          <w:sz w:val="28"/>
          <w:szCs w:val="28"/>
        </w:rPr>
        <w:t>(以下简称乙方)</w:t>
      </w:r>
      <w:r>
        <w:rPr>
          <w:rFonts w:hint="eastAsia" w:hAnsi="宋体" w:cs="宋体"/>
          <w:sz w:val="28"/>
          <w:szCs w:val="28"/>
        </w:rPr>
        <w:t xml:space="preserve"> </w:t>
      </w:r>
      <w:r>
        <w:rPr>
          <w:rFonts w:hint="eastAsia" w:asciiTheme="minorEastAsia" w:hAnsiTheme="minorEastAsia" w:eastAsiaTheme="minorEastAsia" w:cstheme="minorEastAsia"/>
          <w:sz w:val="24"/>
        </w:rPr>
        <w:t xml:space="preserve">      </w:t>
      </w:r>
    </w:p>
    <w:p>
      <w:pPr>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 xml:space="preserve">依照《中华人民共和国民法典》以及其他有关法律、行政法规，遵循平等、自愿、公平和诚实信用的原则，经双方共同协商，达成新港公司二期新建围墙项目合同，双方共同遵照执行。 </w:t>
      </w:r>
    </w:p>
    <w:p>
      <w:pPr>
        <w:keepNext w:val="0"/>
        <w:keepLines w:val="0"/>
        <w:pageBreakBefore w:val="0"/>
        <w:widowControl w:val="0"/>
        <w:kinsoku/>
        <w:wordWrap/>
        <w:overflowPunct/>
        <w:topLinePunct w:val="0"/>
        <w:autoSpaceDE/>
        <w:autoSpaceDN/>
        <w:bidi w:val="0"/>
        <w:adjustRightInd w:val="0"/>
        <w:snapToGrid w:val="0"/>
        <w:spacing w:line="380" w:lineRule="exact"/>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一、工程概况             </w:t>
      </w:r>
    </w:p>
    <w:p>
      <w:pPr>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工程名称：新港公司6#堆场内轨道基础梁两排水沟砼盖板改造施工</w:t>
      </w:r>
    </w:p>
    <w:p>
      <w:pPr>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工程地点：新港公司一期6#堆场内。</w:t>
      </w:r>
    </w:p>
    <w:p>
      <w:pPr>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工程内容：</w:t>
      </w:r>
    </w:p>
    <w:p>
      <w:pPr>
        <w:adjustRightInd w:val="0"/>
        <w:snapToGrid w:val="0"/>
        <w:spacing w:line="312" w:lineRule="auto"/>
        <w:ind w:firstLine="453" w:firstLineChars="189"/>
        <w:jc w:val="both"/>
        <w:rPr>
          <w:rFonts w:hint="eastAsia" w:ascii="宋体" w:hAnsi="宋体" w:cs="仿宋"/>
          <w:sz w:val="24"/>
          <w:lang w:eastAsia="zh-CN"/>
        </w:rPr>
      </w:pPr>
      <w:r>
        <w:rPr>
          <w:rFonts w:hint="eastAsia" w:ascii="宋体" w:hAnsi="宋体" w:cs="仿宋"/>
          <w:sz w:val="24"/>
        </w:rPr>
        <w:t>对堆场内轨道梁边两条排水沟总约计236m,废旧砼盖板（长0.61m*宽0.58m*厚0.16m），约计407块进行拆除、沟内渣石清理后并外运出港。重新分段实施制安排水沟钢筋砼预制盖板与现浇钢筋砼盖板</w:t>
      </w:r>
      <w:r>
        <w:rPr>
          <w:rFonts w:hint="eastAsia" w:ascii="宋体" w:hAnsi="宋体" w:cs="仿宋"/>
          <w:sz w:val="24"/>
          <w:lang w:eastAsia="zh-CN"/>
        </w:rPr>
        <w:t>。</w:t>
      </w:r>
    </w:p>
    <w:p>
      <w:pPr>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lang w:val="en-US" w:eastAsia="zh-CN"/>
        </w:rPr>
        <w:t>对排水沟边货场地面下沉破损位置进行维修面积约计150㎡，（地面破除、渣石清理外运、地面铺设Φ8mm后重新浇注砼）。</w:t>
      </w:r>
      <w:r>
        <w:rPr>
          <w:rFonts w:hint="eastAsia" w:ascii="宋体" w:hAnsi="宋体" w:cs="仿宋"/>
          <w:sz w:val="24"/>
        </w:rPr>
        <w:t>（见附件；改造方案、平面布置图）。</w:t>
      </w:r>
    </w:p>
    <w:p>
      <w:pPr>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工程承包方式：包工包料（含税</w:t>
      </w:r>
      <w:r>
        <w:rPr>
          <w:rFonts w:hint="eastAsia" w:ascii="宋体" w:hAnsi="宋体" w:cs="仿宋"/>
          <w:sz w:val="24"/>
          <w:lang w:val="en-US" w:eastAsia="zh-CN"/>
        </w:rPr>
        <w:t>9</w:t>
      </w:r>
      <w:r>
        <w:rPr>
          <w:rFonts w:hint="eastAsia" w:ascii="宋体" w:hAnsi="宋体" w:cs="仿宋"/>
          <w:sz w:val="24"/>
        </w:rPr>
        <w:t>%），按施工设计方案图纸进行施工。</w:t>
      </w:r>
    </w:p>
    <w:p>
      <w:pPr>
        <w:keepNext w:val="0"/>
        <w:keepLines w:val="0"/>
        <w:pageBreakBefore w:val="0"/>
        <w:numPr>
          <w:ilvl w:val="0"/>
          <w:numId w:val="2"/>
        </w:numPr>
        <w:tabs>
          <w:tab w:val="left" w:pos="960"/>
          <w:tab w:val="left" w:pos="4380"/>
        </w:tabs>
        <w:kinsoku/>
        <w:wordWrap/>
        <w:overflowPunct/>
        <w:topLinePunct w:val="0"/>
        <w:autoSpaceDE/>
        <w:autoSpaceDN/>
        <w:bidi w:val="0"/>
        <w:adjustRightInd w:val="0"/>
        <w:snapToGrid w:val="0"/>
        <w:spacing w:line="380" w:lineRule="exact"/>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施工要求：</w:t>
      </w:r>
    </w:p>
    <w:p>
      <w:pPr>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lang w:val="en-US" w:eastAsia="zh-CN"/>
        </w:rPr>
        <w:t>1、</w:t>
      </w:r>
      <w:r>
        <w:rPr>
          <w:rFonts w:hint="eastAsia" w:ascii="宋体" w:hAnsi="宋体" w:cs="仿宋"/>
          <w:sz w:val="24"/>
        </w:rPr>
        <w:t>为确保工程质量与施工进度，严格按照施工图进行施工，预制与现浇盖板</w:t>
      </w:r>
      <w:r>
        <w:rPr>
          <w:rFonts w:hint="eastAsia" w:ascii="宋体" w:hAnsi="宋体" w:cs="仿宋"/>
          <w:sz w:val="24"/>
          <w:lang w:val="en-US" w:eastAsia="zh-CN"/>
        </w:rPr>
        <w:t>与地面</w:t>
      </w:r>
      <w:r>
        <w:rPr>
          <w:rFonts w:hint="eastAsia" w:ascii="宋体" w:hAnsi="宋体" w:cs="仿宋"/>
          <w:sz w:val="24"/>
        </w:rPr>
        <w:t>钢筋（材质</w:t>
      </w:r>
      <w:r>
        <w:rPr>
          <w:rFonts w:hint="eastAsia" w:ascii="宋体" w:hAnsi="宋体" w:cs="仿宋"/>
          <w:sz w:val="24"/>
          <w:lang w:val="en-US" w:eastAsia="zh-CN"/>
        </w:rPr>
        <w:t>为</w:t>
      </w:r>
      <w:r>
        <w:rPr>
          <w:rFonts w:hint="eastAsia" w:ascii="宋体" w:hAnsi="宋体" w:cs="仿宋"/>
          <w:sz w:val="24"/>
        </w:rPr>
        <w:t>一级）捆扎牢固、砼（</w:t>
      </w:r>
      <w:r>
        <w:rPr>
          <w:rFonts w:hint="eastAsia" w:ascii="宋体" w:hAnsi="宋体" w:cs="仿宋"/>
          <w:sz w:val="24"/>
          <w:lang w:val="en-US" w:eastAsia="zh-CN"/>
        </w:rPr>
        <w:t>为</w:t>
      </w:r>
      <w:r>
        <w:rPr>
          <w:rFonts w:hint="eastAsia" w:ascii="宋体" w:hAnsi="宋体" w:cs="仿宋"/>
          <w:sz w:val="24"/>
        </w:rPr>
        <w:t>C40商品砼）振</w:t>
      </w:r>
      <w:r>
        <w:rPr>
          <w:rFonts w:hint="eastAsia" w:ascii="宋体" w:hAnsi="宋体" w:cs="仿宋"/>
          <w:sz w:val="24"/>
          <w:lang w:val="en-US" w:eastAsia="zh-CN"/>
        </w:rPr>
        <w:t>捣</w:t>
      </w:r>
      <w:r>
        <w:rPr>
          <w:rFonts w:hint="eastAsia" w:ascii="宋体" w:hAnsi="宋体" w:cs="仿宋"/>
          <w:sz w:val="24"/>
        </w:rPr>
        <w:t>密实、外形美观平整、砼表面无裂缝，盖板安装确保与原地面标高一致接洽自然、平稳无晃动现象。</w:t>
      </w:r>
    </w:p>
    <w:p>
      <w:pPr>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2、对工程所用的主要材料需要提供有效材质质量合格证书与质检合格报告证书，隐蔽工程完工后，必须有甲方现场人员签证认可后，才进行下道工序。</w:t>
      </w:r>
    </w:p>
    <w:p>
      <w:pPr>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3、工程质量目标，对工程进度、工程质量、隐蔽工程，按照现行的施工验收规范及质量验收评定标准执行，钢筋笼制安捆扎牢固、模板制作无缝隙、砼浇筑振</w:t>
      </w:r>
      <w:r>
        <w:rPr>
          <w:rFonts w:hint="eastAsia" w:ascii="宋体" w:hAnsi="宋体" w:cs="仿宋"/>
          <w:sz w:val="24"/>
          <w:lang w:val="en-US" w:eastAsia="zh-CN"/>
        </w:rPr>
        <w:t>捣</w:t>
      </w:r>
      <w:r>
        <w:rPr>
          <w:rFonts w:hint="eastAsia" w:ascii="宋体" w:hAnsi="宋体" w:cs="仿宋"/>
          <w:sz w:val="24"/>
        </w:rPr>
        <w:t>密实，无蜂窝狗洞现象，质量标准为优良。</w:t>
      </w:r>
    </w:p>
    <w:p>
      <w:pPr>
        <w:adjustRightInd w:val="0"/>
        <w:snapToGrid w:val="0"/>
        <w:spacing w:line="312" w:lineRule="auto"/>
        <w:ind w:firstLine="453" w:firstLineChars="189"/>
        <w:jc w:val="both"/>
      </w:pPr>
      <w:r>
        <w:rPr>
          <w:rFonts w:hint="eastAsia" w:ascii="宋体" w:hAnsi="宋体" w:cs="仿宋"/>
          <w:sz w:val="24"/>
        </w:rPr>
        <w:t>4、验收标准；必须符合《港口工程技术规范》质量验收标准，项目完工料理场清，做好工程项目质量验收资料。</w:t>
      </w:r>
    </w:p>
    <w:p>
      <w:pPr>
        <w:keepNext w:val="0"/>
        <w:keepLines w:val="0"/>
        <w:pageBreakBefore w:val="0"/>
        <w:kinsoku/>
        <w:wordWrap/>
        <w:overflowPunct/>
        <w:topLinePunct w:val="0"/>
        <w:autoSpaceDE/>
        <w:autoSpaceDN/>
        <w:bidi w:val="0"/>
        <w:spacing w:line="38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三、双方责任约定：</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1、甲方安排专人进行项目监管，督促落实施工安全、质量、进度。</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2、施工作业中乙方有需要协调及时与甲方进行通报联系。</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3、合同一经签订，乙方不得单方面解除合同或中途停工。</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4、乙方必须按照合同所规定的时间完工，因甲方原因或不可抗力导致停工的，工期顺延。</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5、乙方施工作业人员进场必须按公司要求做好安全入场教育及现场安全技术交底工作，在施工中必须严格按双方签订的《安全生产协议》执行，所有因此产生的后果由乙方自行承担。</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6、乙方施工作业人员应自觉遵守新港公司各项规章制度，做好现场安全文明施工与安全防护措施工作，正确佩带好安全帽与个人的劳保用品。</w:t>
      </w:r>
    </w:p>
    <w:p>
      <w:pPr>
        <w:keepNext w:val="0"/>
        <w:keepLines w:val="0"/>
        <w:pageBreakBefore w:val="0"/>
        <w:kinsoku/>
        <w:wordWrap/>
        <w:overflowPunct/>
        <w:topLinePunct w:val="0"/>
        <w:autoSpaceDE/>
        <w:autoSpaceDN/>
        <w:bidi w:val="0"/>
        <w:spacing w:line="380" w:lineRule="exact"/>
        <w:ind w:firstLine="280" w:firstLineChars="100"/>
        <w:textAlignment w:val="baseline"/>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四、施工工期：</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2022年   月   日―2022年   月  日（具体以甲方的通知开工时间为准），特殊情况或不可抗拒顺延。</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五、工程费用及结算：</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1、工程费用：</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 xml:space="preserve">1.1）排水沟砼盖板改造预估费用计人民币 </w:t>
      </w:r>
      <w:r>
        <w:rPr>
          <w:rFonts w:hint="default" w:ascii="宋体" w:hAnsi="宋体" w:cs="仿宋"/>
          <w:sz w:val="24"/>
          <w:lang w:val="en-US" w:eastAsia="zh-CN"/>
        </w:rPr>
        <w:t>¥</w:t>
      </w:r>
      <w:r>
        <w:rPr>
          <w:rFonts w:hint="eastAsia" w:ascii="宋体" w:hAnsi="宋体" w:cs="仿宋"/>
          <w:sz w:val="24"/>
          <w:lang w:val="en-US" w:eastAsia="zh-CN"/>
        </w:rPr>
        <w:t>：    元</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1.2）对排水沟边货场地面下沉与破损位置，须要进行维修面积约计150㎡，预估算费用计￥:元，</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2、最终费用结算以现场工程量签证和甲方委托的第三方结算评审为准。乙方需提供 3 %的有效增值税专用发票办理结算。</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3、项目合同签证后预付项目工程款30%，完工后由甲方、乙方共同验收并开具《项目验收单》，确认合格后，一周内付清余款。</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五、其他事项：</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1、 在执行合同中发生争议，双方应通过友好协商解决。</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2、本合同一式四份，双方各执二份，经双方签字盖章后即生效</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3、安全协议书、廉政协议作为本合同附件部分。</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br w:type="page"/>
      </w:r>
    </w:p>
    <w:p>
      <w:pPr>
        <w:keepNext w:val="0"/>
        <w:keepLines w:val="0"/>
        <w:pageBreakBefore w:val="0"/>
        <w:widowControl/>
        <w:kinsoku/>
        <w:wordWrap/>
        <w:overflowPunct/>
        <w:topLinePunct w:val="0"/>
        <w:autoSpaceDE/>
        <w:autoSpaceDN/>
        <w:bidi w:val="0"/>
        <w:snapToGrid w:val="0"/>
        <w:spacing w:line="380" w:lineRule="exact"/>
        <w:jc w:val="center"/>
        <w:outlineLvl w:val="2"/>
        <w:rPr>
          <w:rFonts w:hint="eastAsia" w:ascii="新宋体" w:hAnsi="新宋体" w:eastAsia="新宋体" w:cs="新宋体"/>
          <w:b/>
          <w:bCs/>
          <w:color w:val="110F0F"/>
          <w:w w:val="110"/>
          <w:sz w:val="28"/>
          <w:szCs w:val="28"/>
        </w:rPr>
      </w:pPr>
      <w:r>
        <w:rPr>
          <w:rFonts w:hint="eastAsia" w:ascii="新宋体" w:hAnsi="新宋体" w:eastAsia="新宋体" w:cs="新宋体"/>
          <w:b/>
          <w:bCs/>
          <w:color w:val="110F0F"/>
          <w:w w:val="110"/>
          <w:sz w:val="28"/>
          <w:szCs w:val="28"/>
        </w:rPr>
        <w:t xml:space="preserve"> 安</w:t>
      </w:r>
      <w:r>
        <w:rPr>
          <w:rFonts w:hint="eastAsia" w:ascii="新宋体" w:hAnsi="新宋体" w:eastAsia="新宋体" w:cs="新宋体"/>
          <w:b/>
          <w:bCs/>
          <w:color w:val="110F0F"/>
          <w:w w:val="110"/>
          <w:sz w:val="28"/>
          <w:szCs w:val="28"/>
          <w:lang w:val="en-US" w:eastAsia="zh-CN"/>
        </w:rPr>
        <w:t xml:space="preserve"> </w:t>
      </w:r>
      <w:r>
        <w:rPr>
          <w:rFonts w:hint="eastAsia" w:ascii="新宋体" w:hAnsi="新宋体" w:eastAsia="新宋体" w:cs="新宋体"/>
          <w:b/>
          <w:bCs/>
          <w:color w:val="110F0F"/>
          <w:w w:val="110"/>
          <w:sz w:val="28"/>
          <w:szCs w:val="28"/>
        </w:rPr>
        <w:t>全</w:t>
      </w:r>
      <w:r>
        <w:rPr>
          <w:rFonts w:hint="eastAsia" w:ascii="新宋体" w:hAnsi="新宋体" w:eastAsia="新宋体" w:cs="新宋体"/>
          <w:b/>
          <w:bCs/>
          <w:color w:val="110F0F"/>
          <w:w w:val="110"/>
          <w:sz w:val="28"/>
          <w:szCs w:val="28"/>
          <w:lang w:val="en-US" w:eastAsia="zh-CN"/>
        </w:rPr>
        <w:t xml:space="preserve"> </w:t>
      </w:r>
      <w:r>
        <w:rPr>
          <w:rFonts w:hint="eastAsia" w:ascii="新宋体" w:hAnsi="新宋体" w:eastAsia="新宋体" w:cs="新宋体"/>
          <w:b/>
          <w:bCs/>
          <w:color w:val="110F0F"/>
          <w:w w:val="110"/>
          <w:sz w:val="28"/>
          <w:szCs w:val="28"/>
        </w:rPr>
        <w:t>协</w:t>
      </w:r>
      <w:r>
        <w:rPr>
          <w:rFonts w:hint="eastAsia" w:ascii="新宋体" w:hAnsi="新宋体" w:eastAsia="新宋体" w:cs="新宋体"/>
          <w:b/>
          <w:bCs/>
          <w:color w:val="110F0F"/>
          <w:w w:val="110"/>
          <w:sz w:val="28"/>
          <w:szCs w:val="28"/>
          <w:lang w:val="en-US" w:eastAsia="zh-CN"/>
        </w:rPr>
        <w:t xml:space="preserve"> </w:t>
      </w:r>
      <w:r>
        <w:rPr>
          <w:rFonts w:hint="eastAsia" w:ascii="新宋体" w:hAnsi="新宋体" w:eastAsia="新宋体" w:cs="新宋体"/>
          <w:b/>
          <w:bCs/>
          <w:color w:val="110F0F"/>
          <w:w w:val="110"/>
          <w:sz w:val="28"/>
          <w:szCs w:val="28"/>
        </w:rPr>
        <w:t>议</w:t>
      </w:r>
    </w:p>
    <w:p>
      <w:pPr>
        <w:adjustRightInd w:val="0"/>
        <w:snapToGrid w:val="0"/>
        <w:spacing w:line="312" w:lineRule="auto"/>
        <w:ind w:firstLine="453" w:firstLineChars="189"/>
        <w:jc w:val="both"/>
        <w:rPr>
          <w:rFonts w:hint="eastAsia" w:ascii="宋体" w:hAnsi="宋体" w:cs="仿宋"/>
          <w:sz w:val="24"/>
          <w:lang w:val="en-US" w:eastAsia="zh-CN"/>
        </w:rPr>
      </w:pP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为了切实做好安全生产工作，依据《中华人民共和国安全生产法》、《中华人民共和国合同法》以及国家有关安全生产管理的法律、法规、标准，按照“安全第一、预防为主、综合治理”的原则，明确甲乙双方责任，就甲乙双方在本项目中的安全生产事项，经协商一致，签订本协议。</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第一条：项目名称：新港公司6#堆场内轨道基础梁两排水沟砼盖板改造施工</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第二条：本协议内容只涉及甲乙双方在本项目中关于安全生产的权利和责任。</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第三条：甲方的权利：</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（一）有权要求乙方建立安全组织机构或指定专人负责作业现场安全监督检查。严格执行安全生产法律、法规、条例、标准，遵守甲方的安全生产规章制度等。</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（二）有权按规定对乙方安全业绩、资质进行审查，对乙方针对作业项目制定的职业健康安全、环境项目进行审查并备案。</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（三）有权要求乙方在项目施工过程中保护好施工区域内甲方的安全生产设施、设备和器材。</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（四）有权要求乙方在进入甲方现场作业前所有作业人员接受甲方的安全培训与教育。</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（五）有权对乙方的作业现场的安全作业情况进行监督检查，有权对乙方不符合安全生产要求的行为进行制止、纠正、处罚、停止作业、直至清退出场。</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（六）有权要求乙方所有作业人员必须交纳工伤保险和意外伤害保险。</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第四条：甲方的责任</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（一）认真贯彻落实国家有关法律、法规、标准及甲方公司安全生产规章制度。</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（二）向乙方明确作业区（甲方港内）的范围、危险源及安全技术交底，并要有书面记录。</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（三）在甲方港内为乙方提供项目合同中规定的安全作业条件。</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（四）在甲方港内发生事故时，积极协助抢险，防止事故扩大，并按照甲方公司有关规定进行报告。</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第五条：乙方的权利</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（一）有权对甲方的安全工作提出合理化建议和改进意见。</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（二）日常作业中，若甲方违章指挥、强令乙方冒险作业，有权拒绝执行。</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（三）有权要求在甲方港内提供符合安全作业的工艺条件和环境。</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（四）发生严重危及乙方生命安全的紧急情况时，乙方有权采取必要的避险措施。</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第六条：乙方的责任</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（一）乙方是本项目的安全生产责任主体，对本项目的安全生产工作全面负责。</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（二）健全安全组织机构，建立安全生产责任制，制定健全的安全生产规章制度，制定生产安全事故应急求援预案，配备必要的安全生产管理人员和劳动保护用品，严格执行甲方相关的规章制度。</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（三）应对作业人员进行作业前安全教育培训，使其具备相应的安全意识和安全技能；特种作业人员应具有相应的资格证书。</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（四）不得使用不符合国家、行业标准和甲方规定的原材料、设备、装置、防护用品、器材、安全检测仪器等。所使用的特种设备，必须经具有专业资质的检验检测机构检测。经检测不合格的，不得继续使用。</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（五）指定专人负责现场安全监督检查工作，认真开展安全检查，发现作业过程中人的不安全行为及事故安全隐患，应采取有效措施积极处理。</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（六）乙方有责任对作业区域的安全生产条件进行详细了解。</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（七）乙方在作业过程中有属于危及安全生产的关键作业时，应提出切实可行的方案，经甲方同意后，方可实施。</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（八）乙方在甲方港内作业期间只能在甲方规定的路线进出公司，只能在规定的区域内作业，禁止私自进入甲方其它生产区域。</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（九）乙方应服从甲方单位的安全管理。</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（十）发生事故时，乙方应积极抢险，避免事故的进一步扩大，并按照国家相关要求报告事故。</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十一）当乙方在甲方港内作业过程中发生安全责任事故时，乙方作为项目的承包单位，对发生的人身伤害、设备损坏等事故承担相应安全责任。由乙方向自己的主管上级部门及当地政府的安全生产监督管理部门、公安部门报告，并自行承担相应的责任。</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第七条  违约责任及处理</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（一）甲乙双方违反本合同要求，未造成事故时，依据相关合同对违约者进行处理（包括但不限于支付违约金、赔偿损失等）。</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（二）在甲方港内发生事故时，甲、乙双方有抢险、救灾的责任，所发生的费用由责任方承担。</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 xml:space="preserve">（三）发生的事故，应经事故调查确认责任；事故报告和调查应按照国家和甲方有关规定进行。           </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（四）甲方违约造成的事故，甲方承担全部责任，并按规定追究有关人员责任及上报。</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（五）乙方违约造成的事故，乙方承担全部责任，并按规定追究有关人员责任并报告甲方。</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（六）甲、乙双方共同造成的事故，按双方责任大小承担相应责任，并按规定追究有关人员责任。</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（七）对乙方发生事故后弄虚作假、隐瞒不报、迟报或谎报，一经查出，按有关规定从重处罚，情节严重的，甲方有权向当地政府安全生产监督管理部门报告，并取消其进入甲方市场资格。</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（八）作业期间，需要办理的有关安全的批文或其它手续，乙方必须办理齐全，否则发生安全事故由乙方承担全部责任。</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第八条：由于不可抗力造成合同项目作业事故及生产的损失，当事人双方各自承担相应的损失。</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第九条：甲乙双方的作业人员和机具设备的保险，由甲乙双方依据国家相关规定或约定各自承担。</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第十条  本协议履行过程中发生争议纠纷，应通过友好协商方式解决，如协商不成，按双方在项目经济合同中约定的管辖地和纠纷解决的方式执行。</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第十一条：本协议是项目经济合同的附件，与项目经济合同具有同等法律效力。本协议与项目经济合同同时生效、终止。</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 xml:space="preserve"> 乙方人员进场前安全教育培训人员；乙方作业期间指定现场安全监护人员。</w:t>
      </w:r>
    </w:p>
    <w:p>
      <w:pPr>
        <w:pStyle w:val="2"/>
        <w:keepNext w:val="0"/>
        <w:keepLines w:val="0"/>
        <w:pageBreakBefore w:val="0"/>
        <w:kinsoku/>
        <w:wordWrap/>
        <w:overflowPunct/>
        <w:topLinePunct w:val="0"/>
        <w:autoSpaceDE/>
        <w:autoSpaceDN/>
        <w:bidi w:val="0"/>
        <w:spacing w:line="380" w:lineRule="exact"/>
        <w:rPr>
          <w:rFonts w:hint="eastAsia" w:ascii="新宋体" w:hAnsi="新宋体" w:eastAsia="新宋体" w:cs="新宋体"/>
          <w:sz w:val="28"/>
          <w:szCs w:val="28"/>
        </w:rPr>
      </w:pPr>
    </w:p>
    <w:p>
      <w:pPr>
        <w:pStyle w:val="2"/>
        <w:keepNext w:val="0"/>
        <w:keepLines w:val="0"/>
        <w:pageBreakBefore w:val="0"/>
        <w:kinsoku/>
        <w:wordWrap/>
        <w:overflowPunct/>
        <w:topLinePunct w:val="0"/>
        <w:autoSpaceDE/>
        <w:autoSpaceDN/>
        <w:bidi w:val="0"/>
        <w:spacing w:line="380" w:lineRule="exact"/>
        <w:ind w:left="0" w:leftChars="0" w:firstLine="0" w:firstLineChars="0"/>
        <w:rPr>
          <w:rFonts w:hint="eastAsia" w:ascii="新宋体" w:hAnsi="新宋体" w:eastAsia="新宋体" w:cs="新宋体"/>
          <w:sz w:val="28"/>
          <w:szCs w:val="28"/>
        </w:rPr>
      </w:pPr>
    </w:p>
    <w:p>
      <w:pPr>
        <w:rPr>
          <w:rFonts w:hint="eastAsia"/>
        </w:rPr>
      </w:pPr>
      <w:r>
        <w:rPr>
          <w:rFonts w:hint="eastAsia" w:ascii="新宋体" w:hAnsi="新宋体" w:eastAsia="新宋体" w:cs="新宋体"/>
          <w:b/>
          <w:bCs/>
          <w:color w:val="110F0F"/>
          <w:w w:val="110"/>
          <w:sz w:val="28"/>
          <w:szCs w:val="28"/>
        </w:rPr>
        <w:br w:type="page"/>
      </w:r>
    </w:p>
    <w:p>
      <w:pPr>
        <w:keepNext w:val="0"/>
        <w:keepLines w:val="0"/>
        <w:pageBreakBefore w:val="0"/>
        <w:widowControl/>
        <w:kinsoku/>
        <w:wordWrap/>
        <w:overflowPunct/>
        <w:topLinePunct w:val="0"/>
        <w:autoSpaceDE/>
        <w:autoSpaceDN/>
        <w:bidi w:val="0"/>
        <w:snapToGrid w:val="0"/>
        <w:spacing w:line="380" w:lineRule="exact"/>
        <w:jc w:val="center"/>
        <w:outlineLvl w:val="2"/>
        <w:rPr>
          <w:rFonts w:hint="eastAsia" w:ascii="新宋体" w:hAnsi="新宋体" w:eastAsia="新宋体" w:cs="新宋体"/>
          <w:b/>
          <w:bCs/>
          <w:color w:val="110F0F"/>
          <w:w w:val="110"/>
          <w:sz w:val="28"/>
          <w:szCs w:val="28"/>
        </w:rPr>
      </w:pPr>
      <w:r>
        <w:rPr>
          <w:rFonts w:hint="eastAsia" w:ascii="新宋体" w:hAnsi="新宋体" w:eastAsia="新宋体" w:cs="新宋体"/>
          <w:b/>
          <w:bCs/>
          <w:color w:val="110F0F"/>
          <w:w w:val="110"/>
          <w:sz w:val="28"/>
          <w:szCs w:val="28"/>
        </w:rPr>
        <w:t>廉</w:t>
      </w:r>
      <w:r>
        <w:rPr>
          <w:rFonts w:hint="eastAsia" w:ascii="新宋体" w:hAnsi="新宋体" w:eastAsia="新宋体" w:cs="新宋体"/>
          <w:b/>
          <w:bCs/>
          <w:color w:val="110F0F"/>
          <w:w w:val="110"/>
          <w:sz w:val="28"/>
          <w:szCs w:val="28"/>
          <w:lang w:val="en-US" w:eastAsia="zh-CN"/>
        </w:rPr>
        <w:t xml:space="preserve"> </w:t>
      </w:r>
      <w:r>
        <w:rPr>
          <w:rFonts w:hint="eastAsia" w:ascii="新宋体" w:hAnsi="新宋体" w:eastAsia="新宋体" w:cs="新宋体"/>
          <w:b/>
          <w:bCs/>
          <w:color w:val="110F0F"/>
          <w:w w:val="110"/>
          <w:sz w:val="28"/>
          <w:szCs w:val="28"/>
        </w:rPr>
        <w:t>政</w:t>
      </w:r>
      <w:r>
        <w:rPr>
          <w:rFonts w:hint="eastAsia" w:ascii="新宋体" w:hAnsi="新宋体" w:eastAsia="新宋体" w:cs="新宋体"/>
          <w:b/>
          <w:bCs/>
          <w:color w:val="110F0F"/>
          <w:w w:val="110"/>
          <w:sz w:val="28"/>
          <w:szCs w:val="28"/>
          <w:lang w:val="en-US" w:eastAsia="zh-CN"/>
        </w:rPr>
        <w:t xml:space="preserve"> </w:t>
      </w:r>
      <w:r>
        <w:rPr>
          <w:rFonts w:hint="eastAsia" w:ascii="新宋体" w:hAnsi="新宋体" w:eastAsia="新宋体" w:cs="新宋体"/>
          <w:b/>
          <w:bCs/>
          <w:color w:val="110F0F"/>
          <w:w w:val="110"/>
          <w:sz w:val="28"/>
          <w:szCs w:val="28"/>
        </w:rPr>
        <w:t>协</w:t>
      </w:r>
      <w:r>
        <w:rPr>
          <w:rFonts w:hint="eastAsia" w:ascii="新宋体" w:hAnsi="新宋体" w:eastAsia="新宋体" w:cs="新宋体"/>
          <w:b/>
          <w:bCs/>
          <w:color w:val="110F0F"/>
          <w:w w:val="110"/>
          <w:sz w:val="28"/>
          <w:szCs w:val="28"/>
          <w:lang w:val="en-US" w:eastAsia="zh-CN"/>
        </w:rPr>
        <w:t xml:space="preserve"> </w:t>
      </w:r>
      <w:r>
        <w:rPr>
          <w:rFonts w:hint="eastAsia" w:ascii="新宋体" w:hAnsi="新宋体" w:eastAsia="新宋体" w:cs="新宋体"/>
          <w:b/>
          <w:bCs/>
          <w:color w:val="110F0F"/>
          <w:w w:val="110"/>
          <w:sz w:val="28"/>
          <w:szCs w:val="28"/>
        </w:rPr>
        <w:t>议</w:t>
      </w:r>
    </w:p>
    <w:p>
      <w:pPr>
        <w:pStyle w:val="2"/>
        <w:keepNext w:val="0"/>
        <w:keepLines w:val="0"/>
        <w:pageBreakBefore w:val="0"/>
        <w:widowControl/>
        <w:kinsoku/>
        <w:wordWrap/>
        <w:overflowPunct/>
        <w:topLinePunct w:val="0"/>
        <w:autoSpaceDE/>
        <w:autoSpaceDN/>
        <w:bidi w:val="0"/>
        <w:spacing w:line="380" w:lineRule="exact"/>
        <w:rPr>
          <w:rFonts w:hint="eastAsia" w:ascii="新宋体" w:hAnsi="新宋体" w:eastAsia="新宋体" w:cs="新宋体"/>
          <w:sz w:val="28"/>
          <w:szCs w:val="28"/>
        </w:rPr>
      </w:pPr>
    </w:p>
    <w:p>
      <w:pPr>
        <w:adjustRightInd w:val="0"/>
        <w:snapToGrid w:val="0"/>
        <w:spacing w:line="312" w:lineRule="auto"/>
        <w:ind w:firstLine="453" w:firstLineChars="189"/>
        <w:jc w:val="both"/>
        <w:rPr>
          <w:rFonts w:hint="eastAsia" w:ascii="宋体" w:hAnsi="宋体" w:cs="仿宋"/>
          <w:sz w:val="24"/>
          <w:lang w:val="en-US" w:eastAsia="zh-CN"/>
        </w:rPr>
      </w:pPr>
      <w:bookmarkStart w:id="11" w:name="_Toc21390"/>
      <w:bookmarkStart w:id="12" w:name="_Toc282076315"/>
      <w:bookmarkStart w:id="13" w:name="_Toc30686"/>
      <w:r>
        <w:rPr>
          <w:rFonts w:hint="eastAsia" w:ascii="宋体" w:hAnsi="宋体" w:cs="仿宋"/>
          <w:sz w:val="24"/>
          <w:lang w:val="en-US" w:eastAsia="zh-CN"/>
        </w:rPr>
        <w:t>为做好工程建设中的党风廉政建设，保证工程建设高效优质、建设资金的安全和投资效益，以及双方合作的公平和公正，预防发包人利益受到双方经济合同之外各种不正当行为的损害，根据国家有关项目建设的法律法规和廉政建设规定，签订本廉政协议，以资共同遵守。第一条  甲乙双方的责任</w:t>
      </w:r>
      <w:bookmarkEnd w:id="11"/>
      <w:bookmarkEnd w:id="12"/>
      <w:bookmarkEnd w:id="13"/>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（一）应严格遵守国家关于市场准入、项目招标投标、工程建设和市场活动等有关法律、法规，相关政策，以及廉政建设的各项规定。</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（二）严格执行建设工程项目相关合同文件，自觉按合同办事。</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（三）业务活动必须坚持公开、公平、公正、诚信、透明的原则，不得为获取不正当的利益，损害国家、集体和对方利益。</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（四）发现对方在业务活动中有违规、违纪、违法行为的，应及时提醒对方，情节严重的，应向其上级主管部门或纪检监察部门进行举报。</w:t>
      </w:r>
    </w:p>
    <w:p>
      <w:pPr>
        <w:adjustRightInd w:val="0"/>
        <w:snapToGrid w:val="0"/>
        <w:spacing w:line="312" w:lineRule="auto"/>
        <w:ind w:firstLine="453" w:firstLineChars="189"/>
        <w:jc w:val="both"/>
        <w:rPr>
          <w:rFonts w:hint="eastAsia" w:ascii="宋体" w:hAnsi="宋体" w:cs="仿宋"/>
          <w:sz w:val="24"/>
          <w:lang w:val="en-US" w:eastAsia="zh-CN"/>
        </w:rPr>
      </w:pPr>
      <w:bookmarkStart w:id="14" w:name="_Toc25742"/>
      <w:bookmarkStart w:id="15" w:name="_Toc282076316"/>
      <w:bookmarkStart w:id="16" w:name="_Toc22406"/>
      <w:r>
        <w:rPr>
          <w:rFonts w:hint="eastAsia" w:ascii="宋体" w:hAnsi="宋体" w:cs="仿宋"/>
          <w:sz w:val="24"/>
          <w:lang w:val="en-US" w:eastAsia="zh-CN"/>
        </w:rPr>
        <w:t>第二条  发包人的责任</w:t>
      </w:r>
      <w:bookmarkEnd w:id="14"/>
      <w:bookmarkEnd w:id="15"/>
      <w:bookmarkEnd w:id="16"/>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发包人工作人员，在工程建设的事前、事中、事后应遵守以下规定：</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（一）不得向承包人索要或接受回扣、礼金、有价证券、贵重物品和好处费、感谢费等。</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（二）不得在承包人报销任何应由个人支付的费用。</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（三）不得要求或接受承包人为其个人装修住房或为其配偶、子女的工作安排以及出国（境）、旅游等提供方便。</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（四）不得参加有可能影响公正执行公务的承包人的宴请、健身和娱乐等活动。</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（五）不得向承包人介绍或推荐其配偶、子女及其他亲属参与承包人同发包人建设项目有关的经济活动。</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（六）不得以任何理由向承包人推荐分包单位或要求承包人购买项目合同规定以外的材料、设备和服务等。</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（七）其它与项目有关的党风廉政建设和预防腐败的规定。</w:t>
      </w:r>
    </w:p>
    <w:p>
      <w:pPr>
        <w:adjustRightInd w:val="0"/>
        <w:snapToGrid w:val="0"/>
        <w:spacing w:line="312" w:lineRule="auto"/>
        <w:ind w:firstLine="453" w:firstLineChars="189"/>
        <w:jc w:val="both"/>
        <w:rPr>
          <w:rFonts w:hint="eastAsia" w:ascii="宋体" w:hAnsi="宋体" w:cs="仿宋"/>
          <w:sz w:val="24"/>
          <w:lang w:val="en-US" w:eastAsia="zh-CN"/>
        </w:rPr>
      </w:pPr>
      <w:bookmarkStart w:id="17" w:name="_Toc14483"/>
      <w:bookmarkStart w:id="18" w:name="_Toc282076317"/>
      <w:bookmarkStart w:id="19" w:name="_Toc11848"/>
      <w:r>
        <w:rPr>
          <w:rFonts w:hint="eastAsia" w:ascii="宋体" w:hAnsi="宋体" w:cs="仿宋"/>
          <w:sz w:val="24"/>
          <w:lang w:val="en-US" w:eastAsia="zh-CN"/>
        </w:rPr>
        <w:t>第三条  承包人的责任</w:t>
      </w:r>
      <w:bookmarkEnd w:id="17"/>
      <w:bookmarkEnd w:id="18"/>
      <w:bookmarkEnd w:id="19"/>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应与发包人保持正常的业务交往，按照有关法律法规和程序开展业务工作，严格执行工程建设的有关方针、政策，并遵守以下规定：</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（一）不得以任何理由向发包人工作人员赠送礼金、有价证券、贵重物品和回扣、好处费、感谢费等。</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（二）不得以任何理由为发包人工作人员报销应由其个人支付的费用。</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（三）不得为发包人工作人员装修住房或为其配偶、子女的工作安排以及出国（境）、旅游等提供方便。</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（四）不得以任何理由邀请发包人工作人员参加有可能影响公正执行公务的宴请、健身、娱乐等活动。</w:t>
      </w:r>
    </w:p>
    <w:p>
      <w:pPr>
        <w:adjustRightInd w:val="0"/>
        <w:snapToGrid w:val="0"/>
        <w:spacing w:line="312" w:lineRule="auto"/>
        <w:ind w:firstLine="453" w:firstLineChars="189"/>
        <w:jc w:val="both"/>
        <w:rPr>
          <w:rFonts w:hint="eastAsia" w:ascii="宋体" w:hAnsi="宋体" w:cs="仿宋"/>
          <w:sz w:val="24"/>
          <w:lang w:val="en-US" w:eastAsia="zh-CN"/>
        </w:rPr>
      </w:pPr>
      <w:bookmarkStart w:id="20" w:name="OLE_LINK1"/>
      <w:r>
        <w:rPr>
          <w:rFonts w:hint="eastAsia" w:ascii="宋体" w:hAnsi="宋体" w:cs="仿宋"/>
          <w:sz w:val="24"/>
          <w:lang w:val="en-US" w:eastAsia="zh-CN"/>
        </w:rPr>
        <w:t>（五）其它与项目有关的党风廉政建设和预防腐败的规定。</w:t>
      </w:r>
    </w:p>
    <w:bookmarkEnd w:id="20"/>
    <w:p>
      <w:pPr>
        <w:adjustRightInd w:val="0"/>
        <w:snapToGrid w:val="0"/>
        <w:spacing w:line="312" w:lineRule="auto"/>
        <w:ind w:firstLine="453" w:firstLineChars="189"/>
        <w:jc w:val="both"/>
        <w:rPr>
          <w:rFonts w:hint="eastAsia" w:ascii="宋体" w:hAnsi="宋体" w:cs="仿宋"/>
          <w:sz w:val="24"/>
          <w:lang w:val="en-US" w:eastAsia="zh-CN"/>
        </w:rPr>
      </w:pPr>
      <w:bookmarkStart w:id="21" w:name="_Toc32291"/>
      <w:bookmarkStart w:id="22" w:name="_Toc9799"/>
      <w:bookmarkStart w:id="23" w:name="OLE_LINK2"/>
      <w:r>
        <w:rPr>
          <w:rFonts w:hint="eastAsia" w:ascii="宋体" w:hAnsi="宋体" w:cs="仿宋"/>
          <w:sz w:val="24"/>
          <w:lang w:val="en-US" w:eastAsia="zh-CN"/>
        </w:rPr>
        <w:t>第四条  违约责任</w:t>
      </w:r>
      <w:bookmarkEnd w:id="21"/>
      <w:bookmarkEnd w:id="22"/>
    </w:p>
    <w:bookmarkEnd w:id="23"/>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一）发包人工作人员有违反本合同第一、二条行为的，经调查属实，依据有关法律法规和规定给予党纪、政纪处分或组织处理；涉嫌犯罪的，移交司法机关追究刑事责任；给承包人造成经济损失的，发包人应予以赔偿。</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二）承包人工作人员有违反本合同第一、三条行为的，经调查属实，依据有关法律法规和规定给予以下相应处理；给发包人造成经济损失的，承包人应予以赔偿；情节严重的，发包人建议交通工程建设主管部门给予一至三年不得进入交通建设市场的处罚；涉嫌犯罪的，移交司法机关追究刑事责任。</w:t>
      </w:r>
    </w:p>
    <w:p>
      <w:pPr>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三）双方约定：本合同由发包人或发包人上级单位的纪检监察机关负责监督执行。由发包人或发包人上级单位的纪检监察机关约请承包人行业主管部门的纪检监察机关对本合同执行情况进行检查，提出在本合同规定范围内的裁定意见。</w:t>
      </w:r>
    </w:p>
    <w:p>
      <w:pPr>
        <w:adjustRightInd w:val="0"/>
        <w:snapToGrid w:val="0"/>
        <w:spacing w:line="312" w:lineRule="auto"/>
        <w:ind w:firstLine="453" w:firstLineChars="189"/>
        <w:jc w:val="both"/>
        <w:rPr>
          <w:rFonts w:hint="eastAsia" w:ascii="新宋体" w:hAnsi="新宋体" w:eastAsia="新宋体" w:cs="新宋体"/>
          <w:sz w:val="28"/>
          <w:szCs w:val="28"/>
        </w:rPr>
      </w:pPr>
      <w:bookmarkStart w:id="24" w:name="_Toc9354"/>
      <w:bookmarkStart w:id="25" w:name="_Toc28966"/>
      <w:r>
        <w:rPr>
          <w:rFonts w:hint="eastAsia" w:ascii="宋体" w:hAnsi="宋体" w:cs="仿宋"/>
          <w:sz w:val="24"/>
          <w:lang w:val="en-US" w:eastAsia="zh-CN"/>
        </w:rPr>
        <w:t>第五条：本合同作为甲、乙双方主合同的附件，与主合同具有同等法律效力。经双方签署后立即生效，项目决算审计后合同效力终止</w:t>
      </w:r>
      <w:bookmarkEnd w:id="24"/>
      <w:bookmarkEnd w:id="25"/>
      <w:r>
        <w:rPr>
          <w:rFonts w:hint="eastAsia" w:ascii="宋体" w:hAnsi="宋体" w:cs="仿宋"/>
          <w:sz w:val="24"/>
          <w:lang w:val="en-US" w:eastAsia="zh-CN"/>
        </w:rPr>
        <w:t>。</w:t>
      </w:r>
    </w:p>
    <w:p>
      <w:pPr>
        <w:rPr>
          <w:rFonts w:ascii="宋体" w:hAnsi="宋体" w:cs="宋体"/>
          <w:b/>
          <w:bCs/>
          <w:kern w:val="0"/>
          <w:sz w:val="28"/>
          <w:szCs w:val="28"/>
        </w:rPr>
      </w:pPr>
      <w:r>
        <w:rPr>
          <w:rFonts w:ascii="宋体" w:hAnsi="宋体" w:cs="宋体"/>
          <w:b/>
          <w:bCs/>
          <w:kern w:val="0"/>
          <w:sz w:val="28"/>
          <w:szCs w:val="28"/>
        </w:rPr>
        <w:br w:type="page"/>
      </w:r>
    </w:p>
    <w:p>
      <w:pPr>
        <w:pStyle w:val="2"/>
        <w:rPr>
          <w:rFonts w:ascii="宋体" w:hAnsi="宋体" w:cs="宋体"/>
          <w:b/>
          <w:bCs/>
          <w:kern w:val="0"/>
          <w:sz w:val="28"/>
          <w:szCs w:val="28"/>
        </w:rPr>
      </w:pPr>
    </w:p>
    <w:tbl>
      <w:tblPr>
        <w:tblStyle w:val="16"/>
        <w:tblW w:w="9276"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6"/>
        <w:gridCol w:w="3270"/>
        <w:gridCol w:w="1500"/>
        <w:gridCol w:w="30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686" w:type="dxa"/>
            <w:gridSpan w:val="2"/>
            <w:tcBorders>
              <w:top w:val="single" w:color="auto" w:sz="4" w:space="0"/>
              <w:left w:val="single" w:color="auto" w:sz="4" w:space="0"/>
              <w:bottom w:val="single" w:color="auto" w:sz="4" w:space="0"/>
              <w:right w:val="single" w:color="auto" w:sz="4" w:space="0"/>
            </w:tcBorders>
          </w:tcPr>
          <w:p>
            <w:pPr>
              <w:widowControl/>
              <w:spacing w:after="160" w:line="600" w:lineRule="exact"/>
              <w:jc w:val="center"/>
              <w:rPr>
                <w:rFonts w:ascii="宋体" w:hAnsi="宋体" w:cs="宋体"/>
                <w:kern w:val="0"/>
                <w:sz w:val="28"/>
                <w:szCs w:val="28"/>
              </w:rPr>
            </w:pPr>
            <w:r>
              <w:rPr>
                <w:rFonts w:hint="eastAsia" w:ascii="宋体" w:hAnsi="宋体" w:cs="宋体"/>
                <w:kern w:val="0"/>
                <w:sz w:val="28"/>
                <w:szCs w:val="28"/>
              </w:rPr>
              <w:t>甲    方</w:t>
            </w:r>
          </w:p>
        </w:tc>
        <w:tc>
          <w:tcPr>
            <w:tcW w:w="4590" w:type="dxa"/>
            <w:gridSpan w:val="2"/>
            <w:tcBorders>
              <w:top w:val="single" w:color="auto" w:sz="4" w:space="0"/>
              <w:left w:val="single" w:color="auto" w:sz="4" w:space="0"/>
              <w:bottom w:val="single" w:color="auto" w:sz="4" w:space="0"/>
              <w:right w:val="single" w:color="auto" w:sz="4" w:space="0"/>
            </w:tcBorders>
          </w:tcPr>
          <w:p>
            <w:pPr>
              <w:widowControl/>
              <w:spacing w:after="160" w:line="600" w:lineRule="exact"/>
              <w:jc w:val="center"/>
              <w:rPr>
                <w:rFonts w:ascii="宋体" w:hAnsi="宋体" w:cs="宋体"/>
                <w:kern w:val="0"/>
                <w:sz w:val="28"/>
                <w:szCs w:val="28"/>
              </w:rPr>
            </w:pPr>
            <w:r>
              <w:rPr>
                <w:rFonts w:hint="eastAsia" w:ascii="宋体" w:hAnsi="宋体" w:cs="宋体"/>
                <w:kern w:val="0"/>
                <w:sz w:val="28"/>
                <w:szCs w:val="28"/>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ind w:left="280" w:hanging="240" w:hangingChars="100"/>
              <w:jc w:val="left"/>
              <w:rPr>
                <w:rFonts w:ascii="宋体" w:hAnsi="宋体" w:cs="宋体"/>
                <w:kern w:val="0"/>
                <w:sz w:val="28"/>
                <w:szCs w:val="28"/>
              </w:rPr>
            </w:pPr>
            <w:r>
              <w:rPr>
                <w:rFonts w:hint="eastAsia" w:ascii="宋体" w:hAnsi="宋体" w:cs="宋体"/>
                <w:kern w:val="0"/>
                <w:sz w:val="24"/>
                <w:szCs w:val="24"/>
              </w:rPr>
              <w:t>单位名称：（章）</w:t>
            </w:r>
          </w:p>
        </w:tc>
        <w:tc>
          <w:tcPr>
            <w:tcW w:w="327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hint="default" w:ascii="宋体" w:hAnsi="宋体" w:eastAsia="宋体" w:cs="宋体"/>
                <w:kern w:val="0"/>
                <w:sz w:val="28"/>
                <w:szCs w:val="28"/>
                <w:lang w:val="en-US" w:eastAsia="zh-CN" w:bidi="ar-SA"/>
              </w:rPr>
            </w:pPr>
            <w:r>
              <w:rPr>
                <w:rFonts w:hint="eastAsia" w:ascii="宋体" w:hAnsi="宋体" w:cs="宋体"/>
                <w:kern w:val="0"/>
                <w:sz w:val="28"/>
                <w:szCs w:val="28"/>
              </w:rPr>
              <w:t>湖南港产科技有限公司</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r>
              <w:rPr>
                <w:rFonts w:hint="eastAsia" w:ascii="宋体" w:hAnsi="宋体" w:cs="宋体"/>
                <w:kern w:val="0"/>
                <w:sz w:val="24"/>
                <w:szCs w:val="24"/>
              </w:rPr>
              <w:t>单位名称： （章）</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单位地址</w:t>
            </w:r>
          </w:p>
        </w:tc>
        <w:tc>
          <w:tcPr>
            <w:tcW w:w="327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eastAsia="宋体" w:cs="宋体"/>
                <w:kern w:val="0"/>
                <w:sz w:val="28"/>
                <w:szCs w:val="28"/>
                <w:lang w:val="en-US" w:eastAsia="zh-CN" w:bidi="ar-SA"/>
              </w:rPr>
            </w:pPr>
            <w:r>
              <w:rPr>
                <w:rFonts w:hint="eastAsia" w:ascii="宋体" w:hAnsi="宋体" w:cs="宋体"/>
                <w:kern w:val="0"/>
                <w:sz w:val="24"/>
                <w:szCs w:val="24"/>
              </w:rPr>
              <w:t>岳阳市城陵矶长江路二号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单位地址</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法定代理人</w:t>
            </w:r>
          </w:p>
        </w:tc>
        <w:tc>
          <w:tcPr>
            <w:tcW w:w="327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eastAsia="宋体" w:cs="宋体"/>
                <w:kern w:val="0"/>
                <w:sz w:val="28"/>
                <w:szCs w:val="28"/>
                <w:lang w:val="en-US" w:eastAsia="zh-CN" w:bidi="ar-SA"/>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法定代理人</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委托代理人</w:t>
            </w:r>
          </w:p>
        </w:tc>
        <w:tc>
          <w:tcPr>
            <w:tcW w:w="327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eastAsia="宋体" w:cs="宋体"/>
                <w:kern w:val="0"/>
                <w:sz w:val="28"/>
                <w:szCs w:val="28"/>
                <w:lang w:val="en-US" w:eastAsia="zh-CN" w:bidi="ar-SA"/>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委托代理人</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经办人</w:t>
            </w:r>
          </w:p>
        </w:tc>
        <w:tc>
          <w:tcPr>
            <w:tcW w:w="327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eastAsia="宋体" w:cs="宋体"/>
                <w:kern w:val="0"/>
                <w:sz w:val="28"/>
                <w:szCs w:val="28"/>
                <w:lang w:val="en-US" w:eastAsia="zh-CN" w:bidi="ar-SA"/>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经办人</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电</w:t>
            </w:r>
            <w:r>
              <w:rPr>
                <w:rFonts w:hint="eastAsia" w:ascii="宋体" w:hAnsi="宋体" w:cs="宋体"/>
                <w:kern w:val="0"/>
                <w:sz w:val="24"/>
                <w:szCs w:val="24"/>
                <w:lang w:val="en-US" w:eastAsia="zh-CN"/>
              </w:rPr>
              <w:t xml:space="preserve"> </w:t>
            </w:r>
            <w:r>
              <w:rPr>
                <w:rFonts w:hint="eastAsia" w:ascii="宋体" w:hAnsi="宋体" w:cs="宋体"/>
                <w:kern w:val="0"/>
                <w:sz w:val="24"/>
                <w:szCs w:val="24"/>
              </w:rPr>
              <w:t>话</w:t>
            </w:r>
          </w:p>
        </w:tc>
        <w:tc>
          <w:tcPr>
            <w:tcW w:w="327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eastAsia="宋体" w:cs="宋体"/>
                <w:kern w:val="0"/>
                <w:sz w:val="28"/>
                <w:szCs w:val="28"/>
                <w:lang w:val="en-US" w:eastAsia="zh-CN" w:bidi="ar-SA"/>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电</w:t>
            </w:r>
            <w:r>
              <w:rPr>
                <w:rFonts w:hint="eastAsia" w:ascii="宋体" w:hAnsi="宋体" w:cs="宋体"/>
                <w:kern w:val="0"/>
                <w:sz w:val="24"/>
                <w:szCs w:val="24"/>
                <w:lang w:val="en-US" w:eastAsia="zh-CN"/>
              </w:rPr>
              <w:t xml:space="preserve"> </w:t>
            </w:r>
            <w:r>
              <w:rPr>
                <w:rFonts w:hint="eastAsia" w:ascii="宋体" w:hAnsi="宋体" w:cs="宋体"/>
                <w:kern w:val="0"/>
                <w:sz w:val="24"/>
                <w:szCs w:val="24"/>
              </w:rPr>
              <w:t>话</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开户银行</w:t>
            </w:r>
          </w:p>
        </w:tc>
        <w:tc>
          <w:tcPr>
            <w:tcW w:w="327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eastAsia="宋体" w:cs="宋体"/>
                <w:kern w:val="0"/>
                <w:sz w:val="28"/>
                <w:szCs w:val="28"/>
                <w:lang w:val="en-US" w:eastAsia="zh-CN" w:bidi="ar-SA"/>
              </w:rPr>
            </w:pPr>
            <w:r>
              <w:rPr>
                <w:rFonts w:hint="eastAsia" w:ascii="宋体" w:hAnsi="宋体" w:cs="宋体"/>
                <w:kern w:val="0"/>
                <w:sz w:val="24"/>
                <w:szCs w:val="24"/>
              </w:rPr>
              <w:t>岳阳市建行城陵矶支行</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开户银行</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eastAsia="宋体" w:cs="宋体"/>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帐</w:t>
            </w:r>
            <w:r>
              <w:rPr>
                <w:rFonts w:hint="eastAsia" w:ascii="宋体" w:hAnsi="宋体" w:cs="宋体"/>
                <w:kern w:val="0"/>
                <w:sz w:val="24"/>
                <w:szCs w:val="24"/>
                <w:lang w:val="en-US" w:eastAsia="zh-CN"/>
              </w:rPr>
              <w:t xml:space="preserve"> </w:t>
            </w:r>
            <w:r>
              <w:rPr>
                <w:rFonts w:hint="eastAsia" w:ascii="宋体" w:hAnsi="宋体" w:cs="宋体"/>
                <w:kern w:val="0"/>
                <w:sz w:val="24"/>
                <w:szCs w:val="24"/>
              </w:rPr>
              <w:t>号</w:t>
            </w:r>
          </w:p>
        </w:tc>
        <w:tc>
          <w:tcPr>
            <w:tcW w:w="327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eastAsia="宋体" w:cs="宋体"/>
                <w:kern w:val="0"/>
                <w:sz w:val="28"/>
                <w:szCs w:val="28"/>
                <w:lang w:val="en-US" w:eastAsia="zh-CN" w:bidi="ar-SA"/>
              </w:rPr>
            </w:pPr>
            <w:r>
              <w:rPr>
                <w:rFonts w:hint="eastAsia" w:ascii="宋体" w:hAnsi="宋体" w:cs="宋体"/>
                <w:color w:val="000000"/>
                <w:sz w:val="28"/>
                <w:szCs w:val="28"/>
              </w:rPr>
              <w:t>43050166628600000536</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帐</w:t>
            </w:r>
            <w:r>
              <w:rPr>
                <w:rFonts w:hint="eastAsia" w:ascii="宋体" w:hAnsi="宋体" w:cs="宋体"/>
                <w:kern w:val="0"/>
                <w:sz w:val="24"/>
                <w:szCs w:val="24"/>
                <w:lang w:val="en-US" w:eastAsia="zh-CN"/>
              </w:rPr>
              <w:t xml:space="preserve"> </w:t>
            </w:r>
            <w:r>
              <w:rPr>
                <w:rFonts w:hint="eastAsia" w:ascii="宋体" w:hAnsi="宋体" w:cs="宋体"/>
                <w:kern w:val="0"/>
                <w:sz w:val="24"/>
                <w:szCs w:val="24"/>
              </w:rPr>
              <w:t>号</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税</w:t>
            </w:r>
            <w:r>
              <w:rPr>
                <w:rFonts w:hint="eastAsia" w:ascii="宋体" w:hAnsi="宋体" w:cs="宋体"/>
                <w:kern w:val="0"/>
                <w:sz w:val="24"/>
                <w:szCs w:val="24"/>
                <w:lang w:val="en-US" w:eastAsia="zh-CN"/>
              </w:rPr>
              <w:t xml:space="preserve"> </w:t>
            </w:r>
            <w:r>
              <w:rPr>
                <w:rFonts w:hint="eastAsia" w:ascii="宋体" w:hAnsi="宋体" w:cs="宋体"/>
                <w:kern w:val="0"/>
                <w:sz w:val="24"/>
                <w:szCs w:val="24"/>
              </w:rPr>
              <w:t>号</w:t>
            </w:r>
          </w:p>
        </w:tc>
        <w:tc>
          <w:tcPr>
            <w:tcW w:w="327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eastAsia="宋体" w:cs="宋体"/>
                <w:kern w:val="0"/>
                <w:sz w:val="28"/>
                <w:szCs w:val="28"/>
                <w:lang w:val="en-US" w:eastAsia="zh-CN" w:bidi="ar-SA"/>
              </w:rPr>
            </w:pPr>
            <w:r>
              <w:rPr>
                <w:rFonts w:hint="eastAsia" w:ascii="宋体" w:hAnsi="宋体" w:cs="宋体"/>
                <w:color w:val="000000"/>
                <w:sz w:val="28"/>
                <w:szCs w:val="28"/>
              </w:rPr>
              <w:t>91430600MF7FA45M0B</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税</w:t>
            </w:r>
            <w:r>
              <w:rPr>
                <w:rFonts w:hint="eastAsia" w:ascii="宋体" w:hAnsi="宋体" w:cs="宋体"/>
                <w:kern w:val="0"/>
                <w:sz w:val="24"/>
                <w:szCs w:val="24"/>
                <w:lang w:val="en-US" w:eastAsia="zh-CN"/>
              </w:rPr>
              <w:t xml:space="preserve"> </w:t>
            </w:r>
            <w:r>
              <w:rPr>
                <w:rFonts w:hint="eastAsia" w:ascii="宋体" w:hAnsi="宋体" w:cs="宋体"/>
                <w:kern w:val="0"/>
                <w:sz w:val="24"/>
                <w:szCs w:val="24"/>
              </w:rPr>
              <w:t>号</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邮</w:t>
            </w:r>
            <w:r>
              <w:rPr>
                <w:rFonts w:hint="eastAsia" w:ascii="宋体" w:hAnsi="宋体" w:cs="宋体"/>
                <w:kern w:val="0"/>
                <w:sz w:val="24"/>
                <w:szCs w:val="24"/>
                <w:lang w:val="en-US" w:eastAsia="zh-CN"/>
              </w:rPr>
              <w:t xml:space="preserve"> </w:t>
            </w:r>
            <w:r>
              <w:rPr>
                <w:rFonts w:hint="eastAsia" w:ascii="宋体" w:hAnsi="宋体" w:cs="宋体"/>
                <w:kern w:val="0"/>
                <w:sz w:val="24"/>
                <w:szCs w:val="24"/>
              </w:rPr>
              <w:t>编</w:t>
            </w:r>
          </w:p>
        </w:tc>
        <w:tc>
          <w:tcPr>
            <w:tcW w:w="327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eastAsia="宋体" w:cs="宋体"/>
                <w:kern w:val="0"/>
                <w:sz w:val="28"/>
                <w:szCs w:val="28"/>
                <w:lang w:val="en-US" w:eastAsia="zh-CN" w:bidi="ar-SA"/>
              </w:rPr>
            </w:pPr>
            <w:r>
              <w:rPr>
                <w:rFonts w:hint="eastAsia" w:ascii="宋体" w:hAnsi="宋体" w:cs="宋体"/>
                <w:kern w:val="0"/>
                <w:sz w:val="28"/>
                <w:szCs w:val="28"/>
              </w:rPr>
              <w:t>414002</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4"/>
                <w:szCs w:val="24"/>
              </w:rPr>
            </w:pPr>
            <w:r>
              <w:rPr>
                <w:rFonts w:hint="eastAsia" w:ascii="宋体" w:hAnsi="宋体" w:cs="宋体"/>
                <w:kern w:val="0"/>
                <w:sz w:val="24"/>
                <w:szCs w:val="24"/>
              </w:rPr>
              <w:t>邮</w:t>
            </w:r>
            <w:r>
              <w:rPr>
                <w:rFonts w:hint="eastAsia" w:ascii="宋体" w:hAnsi="宋体" w:cs="宋体"/>
                <w:kern w:val="0"/>
                <w:sz w:val="24"/>
                <w:szCs w:val="24"/>
                <w:lang w:val="en-US" w:eastAsia="zh-CN"/>
              </w:rPr>
              <w:t xml:space="preserve"> </w:t>
            </w:r>
            <w:r>
              <w:rPr>
                <w:rFonts w:hint="eastAsia" w:ascii="宋体" w:hAnsi="宋体" w:cs="宋体"/>
                <w:kern w:val="0"/>
                <w:sz w:val="24"/>
                <w:szCs w:val="24"/>
              </w:rPr>
              <w:t>编</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after="160" w:line="600" w:lineRule="exact"/>
              <w:jc w:val="left"/>
              <w:rPr>
                <w:rFonts w:ascii="宋体" w:hAnsi="宋体" w:cs="宋体"/>
                <w:kern w:val="0"/>
                <w:sz w:val="28"/>
                <w:szCs w:val="28"/>
              </w:rPr>
            </w:pPr>
          </w:p>
        </w:tc>
      </w:tr>
    </w:tbl>
    <w:p>
      <w:pPr>
        <w:pStyle w:val="2"/>
        <w:ind w:firstLine="0"/>
      </w:pPr>
    </w:p>
    <w:p>
      <w:pPr>
        <w:pStyle w:val="2"/>
        <w:ind w:firstLine="0"/>
        <w:rPr>
          <w:rFonts w:hAnsi="宋体" w:cs="宋体"/>
          <w:sz w:val="28"/>
          <w:szCs w:val="28"/>
        </w:rPr>
      </w:pPr>
    </w:p>
    <w:p>
      <w:pPr>
        <w:pStyle w:val="2"/>
        <w:ind w:firstLine="0"/>
        <w:rPr>
          <w:rFonts w:hAnsi="宋体" w:cs="宋体"/>
          <w:sz w:val="28"/>
          <w:szCs w:val="28"/>
        </w:rPr>
      </w:pPr>
    </w:p>
    <w:p>
      <w:pPr>
        <w:pStyle w:val="2"/>
        <w:ind w:firstLine="0"/>
        <w:rPr>
          <w:rFonts w:hAnsi="宋体" w:cs="宋体"/>
          <w:sz w:val="28"/>
          <w:szCs w:val="28"/>
        </w:rPr>
      </w:pPr>
    </w:p>
    <w:p>
      <w:pPr>
        <w:pStyle w:val="2"/>
        <w:ind w:firstLine="0"/>
        <w:rPr>
          <w:rFonts w:hAnsi="宋体" w:cs="宋体"/>
          <w:sz w:val="28"/>
          <w:szCs w:val="28"/>
        </w:rPr>
      </w:pPr>
    </w:p>
    <w:p>
      <w:pPr>
        <w:pStyle w:val="2"/>
        <w:ind w:firstLine="0"/>
        <w:rPr>
          <w:rFonts w:hAnsi="宋体" w:cs="宋体"/>
          <w:sz w:val="28"/>
          <w:szCs w:val="28"/>
        </w:rPr>
      </w:pPr>
    </w:p>
    <w:p>
      <w:pPr>
        <w:pStyle w:val="2"/>
        <w:ind w:firstLine="0"/>
        <w:rPr>
          <w:rFonts w:hAnsi="宋体" w:cs="宋体"/>
          <w:sz w:val="28"/>
          <w:szCs w:val="28"/>
        </w:rPr>
      </w:pPr>
    </w:p>
    <w:p>
      <w:pPr>
        <w:pStyle w:val="2"/>
        <w:ind w:firstLine="0"/>
        <w:rPr>
          <w:rFonts w:hAnsi="宋体" w:cs="宋体"/>
          <w:sz w:val="28"/>
          <w:szCs w:val="28"/>
        </w:rPr>
      </w:pPr>
    </w:p>
    <w:p>
      <w:pPr>
        <w:pStyle w:val="2"/>
        <w:ind w:firstLine="0"/>
        <w:jc w:val="both"/>
        <w:rPr>
          <w:rFonts w:hint="eastAsia" w:ascii="新宋体" w:hAnsi="新宋体" w:eastAsia="新宋体" w:cs="新宋体"/>
          <w:b/>
          <w:bCs/>
          <w:color w:val="110F0F"/>
          <w:w w:val="110"/>
          <w:sz w:val="28"/>
          <w:szCs w:val="28"/>
          <w:lang w:val="en-US" w:eastAsia="zh-CN"/>
        </w:rPr>
      </w:pPr>
    </w:p>
    <w:p>
      <w:pPr>
        <w:numPr>
          <w:ilvl w:val="0"/>
          <w:numId w:val="3"/>
        </w:numPr>
        <w:spacing w:line="600" w:lineRule="exact"/>
        <w:jc w:val="center"/>
        <w:outlineLvl w:val="0"/>
        <w:rPr>
          <w:rFonts w:ascii="黑体" w:hAnsi="黑体" w:eastAsia="黑体" w:cs="仿宋"/>
          <w:b/>
          <w:color w:val="000000"/>
          <w:sz w:val="36"/>
          <w:szCs w:val="36"/>
        </w:rPr>
      </w:pPr>
      <w:r>
        <w:rPr>
          <w:rFonts w:hint="eastAsia" w:ascii="黑体" w:hAnsi="黑体" w:eastAsia="黑体" w:cs="仿宋"/>
          <w:b/>
          <w:color w:val="000000"/>
          <w:sz w:val="36"/>
          <w:szCs w:val="36"/>
        </w:rPr>
        <w:t xml:space="preserve"> </w:t>
      </w:r>
      <w:bookmarkStart w:id="26" w:name="_Toc31503"/>
      <w:r>
        <w:rPr>
          <w:rFonts w:hint="eastAsia" w:ascii="黑体" w:hAnsi="黑体" w:eastAsia="黑体" w:cs="仿宋"/>
          <w:b/>
          <w:color w:val="000000"/>
          <w:sz w:val="36"/>
          <w:szCs w:val="36"/>
        </w:rPr>
        <w:t>采购需求</w:t>
      </w:r>
      <w:bookmarkEnd w:id="26"/>
    </w:p>
    <w:p>
      <w:pPr>
        <w:numPr>
          <w:ilvl w:val="0"/>
          <w:numId w:val="4"/>
        </w:numPr>
        <w:adjustRightInd w:val="0"/>
        <w:snapToGrid w:val="0"/>
        <w:spacing w:line="312" w:lineRule="auto"/>
        <w:rPr>
          <w:rFonts w:hint="eastAsia" w:ascii="宋体" w:hAnsi="宋体"/>
          <w:sz w:val="24"/>
        </w:rPr>
      </w:pPr>
      <w:r>
        <w:rPr>
          <w:rFonts w:hint="eastAsia" w:ascii="宋体" w:hAnsi="宋体"/>
          <w:sz w:val="24"/>
        </w:rPr>
        <w:t>采购项目名称 ：新港公司6#堆场内轨道基础梁两边排水沟砼盖板改造施工</w:t>
      </w:r>
    </w:p>
    <w:p>
      <w:pPr>
        <w:numPr>
          <w:ilvl w:val="0"/>
          <w:numId w:val="4"/>
        </w:numPr>
        <w:adjustRightInd w:val="0"/>
        <w:snapToGrid w:val="0"/>
        <w:spacing w:line="312" w:lineRule="auto"/>
        <w:rPr>
          <w:rFonts w:ascii="宋体" w:hAnsi="宋体"/>
          <w:sz w:val="24"/>
        </w:rPr>
      </w:pPr>
      <w:r>
        <w:rPr>
          <w:rFonts w:hint="eastAsia" w:ascii="宋体" w:hAnsi="宋体"/>
          <w:sz w:val="24"/>
        </w:rPr>
        <w:t>项目概况及主要数据：</w:t>
      </w:r>
    </w:p>
    <w:p>
      <w:pPr>
        <w:numPr>
          <w:ilvl w:val="0"/>
          <w:numId w:val="4"/>
        </w:numPr>
        <w:adjustRightInd w:val="0"/>
        <w:snapToGrid w:val="0"/>
        <w:spacing w:line="312" w:lineRule="auto"/>
        <w:rPr>
          <w:rFonts w:hint="eastAsia" w:ascii="宋体" w:hAnsi="宋体"/>
          <w:sz w:val="24"/>
        </w:rPr>
      </w:pPr>
    </w:p>
    <w:p>
      <w:pPr>
        <w:numPr>
          <w:ilvl w:val="0"/>
          <w:numId w:val="5"/>
        </w:numPr>
        <w:adjustRightInd w:val="0"/>
        <w:snapToGrid w:val="0"/>
        <w:spacing w:line="312" w:lineRule="auto"/>
        <w:rPr>
          <w:rFonts w:hint="eastAsia" w:ascii="宋体" w:hAnsi="宋体"/>
          <w:sz w:val="24"/>
          <w:lang w:eastAsia="zh-CN"/>
        </w:rPr>
      </w:pPr>
      <w:r>
        <w:rPr>
          <w:rFonts w:hint="eastAsia" w:ascii="宋体" w:hAnsi="宋体"/>
          <w:sz w:val="24"/>
        </w:rPr>
        <w:t>堆场内轨道梁边两条排水沟总约计236m,废旧砼盖板（长0.61m*宽0.58m*厚0.16m），约计407块进行拆除、沟内渣石清理后并外运出港。重新分段实施制安排水沟钢筋砼预制盖板与现浇钢筋砼盖板</w:t>
      </w:r>
      <w:r>
        <w:rPr>
          <w:rFonts w:hint="eastAsia" w:ascii="宋体" w:hAnsi="宋体"/>
          <w:sz w:val="24"/>
          <w:lang w:eastAsia="zh-CN"/>
        </w:rPr>
        <w:t>。</w:t>
      </w:r>
    </w:p>
    <w:p>
      <w:pPr>
        <w:numPr>
          <w:ilvl w:val="0"/>
          <w:numId w:val="0"/>
        </w:numPr>
        <w:adjustRightInd w:val="0"/>
        <w:snapToGrid w:val="0"/>
        <w:spacing w:line="312" w:lineRule="auto"/>
        <w:rPr>
          <w:rFonts w:hint="eastAsia" w:ascii="宋体" w:hAnsi="宋体"/>
          <w:sz w:val="24"/>
        </w:rPr>
      </w:pPr>
      <w:r>
        <w:rPr>
          <w:rFonts w:hint="eastAsia" w:ascii="宋体" w:hAnsi="宋体"/>
          <w:sz w:val="24"/>
          <w:lang w:val="en-US" w:eastAsia="zh-CN"/>
        </w:rPr>
        <w:t>2）排水沟边货场地面下沉破损位置进行维修面积约计150㎡，（地面破除、渣石清理外运、地面铺设Φ8mm后重新浇注砼）。</w:t>
      </w:r>
    </w:p>
    <w:p>
      <w:pPr>
        <w:numPr>
          <w:ilvl w:val="0"/>
          <w:numId w:val="4"/>
        </w:numPr>
        <w:adjustRightInd w:val="0"/>
        <w:snapToGrid w:val="0"/>
        <w:spacing w:line="312" w:lineRule="auto"/>
        <w:rPr>
          <w:rFonts w:ascii="宋体" w:hAnsi="宋体"/>
          <w:sz w:val="24"/>
        </w:rPr>
      </w:pPr>
      <w:r>
        <w:rPr>
          <w:rFonts w:hint="eastAsia" w:ascii="宋体" w:hAnsi="宋体"/>
          <w:sz w:val="24"/>
        </w:rPr>
        <w:t>服务承包范围：</w:t>
      </w:r>
    </w:p>
    <w:p>
      <w:pPr>
        <w:numPr>
          <w:ilvl w:val="255"/>
          <w:numId w:val="0"/>
        </w:numPr>
        <w:adjustRightInd w:val="0"/>
        <w:snapToGrid w:val="0"/>
        <w:spacing w:line="312" w:lineRule="auto"/>
        <w:rPr>
          <w:rFonts w:ascii="宋体" w:hAnsi="宋体"/>
          <w:sz w:val="24"/>
        </w:rPr>
      </w:pPr>
      <w:r>
        <w:rPr>
          <w:rFonts w:hint="eastAsia" w:ascii="宋体" w:hAnsi="宋体"/>
          <w:sz w:val="24"/>
        </w:rPr>
        <w:t>承接本工程的施工项目，工程项目及工程量如下表(包括但不仅限于下例清单)：</w:t>
      </w:r>
    </w:p>
    <w:tbl>
      <w:tblPr>
        <w:tblStyle w:val="16"/>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1"/>
        <w:gridCol w:w="2588"/>
        <w:gridCol w:w="2445"/>
        <w:gridCol w:w="803"/>
        <w:gridCol w:w="653"/>
        <w:gridCol w:w="653"/>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52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6#堆场排水沟盖板改造项目清单表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58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子目名称</w:t>
            </w:r>
          </w:p>
        </w:tc>
        <w:tc>
          <w:tcPr>
            <w:tcW w:w="244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内容描述</w:t>
            </w:r>
          </w:p>
        </w:tc>
        <w:tc>
          <w:tcPr>
            <w:tcW w:w="80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65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65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w:t>
            </w:r>
          </w:p>
        </w:tc>
        <w:tc>
          <w:tcPr>
            <w:tcW w:w="79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钢筋砼盖板拆除（407块）</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0.61m*0.58m*0.16m</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废旧盖板外运3km</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0.61m*0.58m*0.16m</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砼排水沟地面两边修整</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72m*2边*2条</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原排水沟内渣石清理</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0.36m*0.10m*236m</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渣石外运</w:t>
            </w:r>
            <w:r>
              <w:rPr>
                <w:rStyle w:val="27"/>
                <w:lang w:val="en-US" w:eastAsia="zh-CN" w:bidi="ar"/>
              </w:rPr>
              <w:t>3km</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0.36m*0.10m*236m</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排水沟现浇装模</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135*0.42</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现浇盖板钢筋制作（底层）</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w:t>
            </w:r>
            <w:r>
              <w:rPr>
                <w:rStyle w:val="28"/>
                <w:lang w:val="en-US" w:eastAsia="zh-CN" w:bidi="ar"/>
              </w:rPr>
              <w:t>¢16*0.62m*910根，¢10*670m</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钢筋制作面层</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¢12*0.62m*675根，¢10*670m</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现浇盖板C40商品砼浇筑</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135*0.65*0.19</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固定钢筋</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¢10*2.7m*230个</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预制盖板钢筋制作</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(¢16*0.59m*9根+¢12*0.59m*5根)*78块</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钢筋箍筋</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¢8*（2.7m*6根+1.9m*6根）*78块</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钢筋起弯筋</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¢12*1.1m*78根</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预制盖板装模（15套）</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3.7m*0.2m*15套</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预制盖板C40商品砼浇筑</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1.2*0.62*0.16*78块</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盖板安装沟墙体面砂浆找平</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2.4*0.2*78块</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预制盖板安装（块）</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1.2*0.61*0.16*78块</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排水沟盖板砼养护</w:t>
            </w:r>
          </w:p>
        </w:tc>
        <w:tc>
          <w:tcPr>
            <w:tcW w:w="2445"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工日</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货场地面维修</w:t>
            </w:r>
          </w:p>
        </w:tc>
        <w:tc>
          <w:tcPr>
            <w:tcW w:w="2445"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80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砼地面拆除（厚0.25cm)</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50*3*0.25</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渣石清理外运3km</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50*3*0.25</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场地清理放线装模</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地面钢筋Φ8mm单层双向@200*200mm</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（252*3+17*50）*Φ8</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地面浇注C40商品砼</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50*3*0.25</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地面压纹</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地面切逢（深度6cm以上）</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沥青灌逢</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地面养护</w:t>
            </w:r>
          </w:p>
        </w:tc>
        <w:tc>
          <w:tcPr>
            <w:tcW w:w="2445"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工日</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场地清理</w:t>
            </w:r>
          </w:p>
        </w:tc>
        <w:tc>
          <w:tcPr>
            <w:tcW w:w="2445"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80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525" w:type="dxa"/>
            <w:gridSpan w:val="7"/>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本页报价费用合计：</w:t>
            </w:r>
          </w:p>
        </w:tc>
      </w:tr>
    </w:tbl>
    <w:p>
      <w:pPr>
        <w:pStyle w:val="2"/>
      </w:pPr>
    </w:p>
    <w:p>
      <w:pPr>
        <w:numPr>
          <w:ilvl w:val="0"/>
          <w:numId w:val="4"/>
        </w:numPr>
        <w:adjustRightInd w:val="0"/>
        <w:snapToGrid w:val="0"/>
        <w:spacing w:line="312" w:lineRule="auto"/>
        <w:ind w:left="0" w:leftChars="0" w:firstLine="0" w:firstLineChars="0"/>
        <w:rPr>
          <w:rFonts w:hint="eastAsia" w:ascii="宋体" w:hAnsi="宋体"/>
          <w:sz w:val="24"/>
        </w:rPr>
      </w:pPr>
      <w:r>
        <w:rPr>
          <w:rFonts w:hint="eastAsia" w:ascii="宋体" w:hAnsi="宋体"/>
          <w:sz w:val="24"/>
        </w:rPr>
        <w:t>服务要求、质量和标准：</w:t>
      </w:r>
    </w:p>
    <w:p>
      <w:pPr>
        <w:pStyle w:val="2"/>
        <w:ind w:firstLine="720" w:firstLineChars="3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对须进行改造与维修项目；</w:t>
      </w:r>
      <w:r>
        <w:rPr>
          <w:rFonts w:hint="eastAsia" w:asciiTheme="minorEastAsia" w:hAnsiTheme="minorEastAsia" w:eastAsiaTheme="minorEastAsia" w:cstheme="minorEastAsia"/>
          <w:szCs w:val="24"/>
        </w:rPr>
        <w:t>废旧盖板</w:t>
      </w:r>
      <w:r>
        <w:rPr>
          <w:rFonts w:hint="eastAsia" w:asciiTheme="minorEastAsia" w:hAnsiTheme="minorEastAsia" w:eastAsiaTheme="minorEastAsia" w:cstheme="minorEastAsia"/>
          <w:szCs w:val="24"/>
          <w:lang w:val="en-US" w:eastAsia="zh-CN"/>
        </w:rPr>
        <w:t>与维修砼地面</w:t>
      </w:r>
      <w:r>
        <w:rPr>
          <w:rFonts w:hint="eastAsia" w:asciiTheme="minorEastAsia" w:hAnsiTheme="minorEastAsia" w:eastAsiaTheme="minorEastAsia" w:cstheme="minorEastAsia"/>
          <w:szCs w:val="24"/>
        </w:rPr>
        <w:t>拆除、沟内</w:t>
      </w:r>
      <w:r>
        <w:rPr>
          <w:rFonts w:hint="eastAsia" w:asciiTheme="minorEastAsia" w:hAnsiTheme="minorEastAsia" w:eastAsiaTheme="minorEastAsia" w:cstheme="minorEastAsia"/>
          <w:szCs w:val="24"/>
          <w:lang w:val="en-US" w:eastAsia="zh-CN"/>
        </w:rPr>
        <w:t>地面</w:t>
      </w:r>
      <w:r>
        <w:rPr>
          <w:rFonts w:hint="eastAsia" w:asciiTheme="minorEastAsia" w:hAnsiTheme="minorEastAsia" w:eastAsiaTheme="minorEastAsia" w:cstheme="minorEastAsia"/>
          <w:szCs w:val="24"/>
        </w:rPr>
        <w:t>渣石清理并外运、预制现浇盖板</w:t>
      </w:r>
      <w:r>
        <w:rPr>
          <w:rFonts w:hint="eastAsia" w:asciiTheme="minorEastAsia" w:hAnsiTheme="minorEastAsia" w:eastAsiaTheme="minorEastAsia" w:cstheme="minorEastAsia"/>
          <w:szCs w:val="24"/>
          <w:lang w:val="en-US" w:eastAsia="zh-CN"/>
        </w:rPr>
        <w:t>与需维修砼地面钢筋材质</w:t>
      </w:r>
      <w:r>
        <w:rPr>
          <w:rFonts w:hint="eastAsia" w:asciiTheme="minorEastAsia" w:hAnsiTheme="minorEastAsia" w:eastAsiaTheme="minorEastAsia" w:cstheme="minorEastAsia"/>
          <w:szCs w:val="24"/>
        </w:rPr>
        <w:t>（为一级标准、砼采用C40商品砼）</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rPr>
        <w:t>所用材料必须提交有效材质质量证书与质检合格证书，隐蔽工程完工后，必须有甲方现场人员签证认可后，才进</w:t>
      </w:r>
      <w:r>
        <w:rPr>
          <w:rFonts w:hint="eastAsia" w:asciiTheme="minorEastAsia" w:hAnsiTheme="minorEastAsia" w:eastAsiaTheme="minorEastAsia" w:cstheme="minorEastAsia"/>
          <w:szCs w:val="24"/>
          <w:lang w:val="en-US" w:eastAsia="zh-CN"/>
        </w:rPr>
        <w:t>可进行施工</w:t>
      </w:r>
      <w:r>
        <w:rPr>
          <w:rFonts w:hint="eastAsia" w:asciiTheme="minorEastAsia" w:hAnsiTheme="minorEastAsia" w:eastAsiaTheme="minorEastAsia" w:cstheme="minorEastAsia"/>
          <w:szCs w:val="24"/>
          <w:lang w:eastAsia="zh-CN"/>
        </w:rPr>
        <w:t>。</w:t>
      </w:r>
    </w:p>
    <w:p>
      <w:pPr>
        <w:spacing w:line="312" w:lineRule="auto"/>
        <w:rPr>
          <w:rFonts w:ascii="宋体" w:hAnsi="宋体"/>
          <w:sz w:val="24"/>
        </w:rPr>
      </w:pPr>
      <w:r>
        <w:rPr>
          <w:rFonts w:hint="eastAsia" w:ascii="宋体" w:hAnsi="宋体"/>
          <w:sz w:val="24"/>
        </w:rPr>
        <w:t>（</w:t>
      </w:r>
      <w:r>
        <w:rPr>
          <w:rFonts w:hint="eastAsia" w:ascii="宋体" w:hAnsi="宋体"/>
          <w:sz w:val="24"/>
          <w:lang w:val="en-US" w:eastAsia="zh-CN"/>
        </w:rPr>
        <w:t>六</w:t>
      </w:r>
      <w:r>
        <w:rPr>
          <w:rFonts w:ascii="宋体" w:hAnsi="宋体"/>
          <w:sz w:val="24"/>
        </w:rPr>
        <w:t>）</w:t>
      </w:r>
      <w:r>
        <w:rPr>
          <w:rFonts w:hint="eastAsia" w:ascii="宋体" w:hAnsi="宋体"/>
          <w:sz w:val="24"/>
        </w:rPr>
        <w:t>工期及验收：</w:t>
      </w:r>
    </w:p>
    <w:p>
      <w:pPr>
        <w:pStyle w:val="2"/>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合同签订，进场施工后25天必须完成，下雨顺延 。</w:t>
      </w:r>
    </w:p>
    <w:p>
      <w:pPr>
        <w:pStyle w:val="2"/>
        <w:rPr>
          <w:rFonts w:asciiTheme="minorEastAsia" w:hAnsiTheme="minorEastAsia" w:eastAsiaTheme="minorEastAsia" w:cstheme="minorEastAsia"/>
          <w:szCs w:val="24"/>
        </w:rPr>
      </w:pPr>
      <w:r>
        <w:rPr>
          <w:rFonts w:hint="eastAsia" w:hAnsi="宋体"/>
        </w:rPr>
        <w:t>验收标准《港口工程技术规范》质量验收标准。</w:t>
      </w:r>
    </w:p>
    <w:p>
      <w:pPr>
        <w:pStyle w:val="2"/>
        <w:ind w:firstLine="0"/>
        <w:rPr>
          <w:rFonts w:hAnsi="宋体" w:cs="宋体"/>
          <w:szCs w:val="24"/>
        </w:rPr>
      </w:pPr>
      <w:r>
        <w:rPr>
          <w:rFonts w:hint="eastAsia" w:hAnsi="宋体"/>
        </w:rPr>
        <w:t>（</w:t>
      </w:r>
      <w:r>
        <w:rPr>
          <w:rFonts w:hint="eastAsia" w:hAnsi="宋体"/>
          <w:lang w:val="en-US" w:eastAsia="zh-CN"/>
        </w:rPr>
        <w:t>七</w:t>
      </w:r>
      <w:r>
        <w:rPr>
          <w:rFonts w:hint="eastAsia" w:hAnsi="宋体"/>
        </w:rPr>
        <w:t>）</w:t>
      </w:r>
      <w:r>
        <w:rPr>
          <w:rFonts w:hAnsi="宋体"/>
        </w:rPr>
        <w:t>适用法规政策目录</w:t>
      </w:r>
    </w:p>
    <w:p>
      <w:pPr>
        <w:numPr>
          <w:ilvl w:val="255"/>
          <w:numId w:val="0"/>
        </w:numPr>
        <w:spacing w:line="312" w:lineRule="auto"/>
        <w:ind w:firstLine="480" w:firstLineChars="200"/>
      </w:pPr>
      <w:r>
        <w:rPr>
          <w:rFonts w:hint="eastAsia" w:ascii="宋体" w:hAnsi="宋体" w:cs="宋体"/>
          <w:sz w:val="24"/>
        </w:rPr>
        <w:t>1、ISO14001环境管理</w:t>
      </w:r>
    </w:p>
    <w:p>
      <w:pPr>
        <w:pStyle w:val="2"/>
        <w:numPr>
          <w:ilvl w:val="255"/>
          <w:numId w:val="0"/>
        </w:numPr>
      </w:pPr>
    </w:p>
    <w:p>
      <w:pPr>
        <w:spacing w:line="312" w:lineRule="auto"/>
        <w:jc w:val="both"/>
        <w:rPr>
          <w:rFonts w:ascii="黑体" w:hAnsi="黑体" w:eastAsia="黑体" w:cs="仿宋"/>
          <w:b/>
          <w:color w:val="000000"/>
          <w:sz w:val="36"/>
          <w:szCs w:val="36"/>
        </w:rPr>
      </w:pPr>
    </w:p>
    <w:p>
      <w:pPr>
        <w:pStyle w:val="2"/>
      </w:pPr>
    </w:p>
    <w:p>
      <w:pPr>
        <w:pStyle w:val="2"/>
      </w:pPr>
    </w:p>
    <w:p>
      <w:pPr>
        <w:pStyle w:val="2"/>
      </w:pPr>
    </w:p>
    <w:p>
      <w:pPr>
        <w:spacing w:line="312" w:lineRule="auto"/>
        <w:jc w:val="center"/>
        <w:rPr>
          <w:rFonts w:ascii="黑体" w:hAnsi="黑体" w:eastAsia="黑体" w:cs="仿宋"/>
          <w:b/>
          <w:color w:val="000000"/>
          <w:sz w:val="36"/>
          <w:szCs w:val="36"/>
        </w:rPr>
      </w:pPr>
    </w:p>
    <w:p>
      <w:pPr>
        <w:pStyle w:val="2"/>
        <w:rPr>
          <w:rFonts w:ascii="黑体" w:hAnsi="黑体" w:eastAsia="黑体" w:cs="仿宋"/>
          <w:b/>
          <w:color w:val="000000"/>
          <w:sz w:val="36"/>
          <w:szCs w:val="36"/>
        </w:rPr>
      </w:pPr>
    </w:p>
    <w:p>
      <w:pPr>
        <w:pStyle w:val="2"/>
        <w:rPr>
          <w:rFonts w:ascii="黑体" w:hAnsi="黑体" w:eastAsia="黑体" w:cs="仿宋"/>
          <w:b/>
          <w:color w:val="000000"/>
          <w:sz w:val="36"/>
          <w:szCs w:val="36"/>
        </w:rPr>
      </w:pPr>
    </w:p>
    <w:p>
      <w:pPr>
        <w:pStyle w:val="2"/>
        <w:ind w:firstLine="0"/>
        <w:rPr>
          <w:rFonts w:ascii="黑体" w:hAnsi="黑体" w:eastAsia="黑体" w:cs="仿宋"/>
          <w:b/>
          <w:color w:val="000000"/>
          <w:sz w:val="36"/>
          <w:szCs w:val="36"/>
        </w:rPr>
      </w:pPr>
    </w:p>
    <w:p>
      <w:pPr>
        <w:pStyle w:val="2"/>
        <w:ind w:firstLine="0"/>
        <w:rPr>
          <w:rFonts w:ascii="黑体" w:hAnsi="黑体" w:eastAsia="黑体" w:cs="仿宋"/>
          <w:b/>
          <w:color w:val="000000"/>
          <w:sz w:val="36"/>
          <w:szCs w:val="36"/>
        </w:rPr>
      </w:pPr>
    </w:p>
    <w:p>
      <w:pPr>
        <w:rPr>
          <w:rFonts w:ascii="黑体" w:hAnsi="黑体" w:eastAsia="黑体" w:cs="仿宋"/>
          <w:b/>
          <w:color w:val="000000"/>
          <w:sz w:val="36"/>
          <w:szCs w:val="36"/>
        </w:rPr>
      </w:pPr>
      <w:r>
        <w:rPr>
          <w:rFonts w:hint="eastAsia" w:ascii="黑体" w:hAnsi="黑体" w:eastAsia="黑体" w:cs="仿宋"/>
          <w:b/>
          <w:color w:val="000000"/>
          <w:sz w:val="36"/>
          <w:szCs w:val="36"/>
        </w:rPr>
        <w:br w:type="page"/>
      </w:r>
    </w:p>
    <w:p>
      <w:pPr>
        <w:pStyle w:val="2"/>
        <w:ind w:firstLine="0"/>
        <w:rPr>
          <w:rFonts w:ascii="黑体" w:hAnsi="黑体" w:eastAsia="黑体" w:cs="仿宋"/>
          <w:b/>
          <w:color w:val="000000"/>
          <w:sz w:val="36"/>
          <w:szCs w:val="36"/>
        </w:rPr>
      </w:pPr>
    </w:p>
    <w:p>
      <w:pPr>
        <w:spacing w:line="312" w:lineRule="auto"/>
        <w:jc w:val="center"/>
        <w:outlineLvl w:val="0"/>
        <w:rPr>
          <w:rFonts w:ascii="黑体" w:hAnsi="黑体" w:eastAsia="黑体" w:cs="仿宋"/>
          <w:b/>
          <w:color w:val="000000"/>
          <w:sz w:val="36"/>
          <w:szCs w:val="36"/>
        </w:rPr>
      </w:pPr>
      <w:bookmarkStart w:id="27" w:name="_Toc13840"/>
      <w:r>
        <w:rPr>
          <w:rFonts w:hint="eastAsia" w:ascii="黑体" w:hAnsi="黑体" w:eastAsia="黑体" w:cs="仿宋"/>
          <w:b/>
          <w:color w:val="000000"/>
          <w:sz w:val="36"/>
          <w:szCs w:val="36"/>
        </w:rPr>
        <w:t>第六章  响应文件格式</w:t>
      </w:r>
      <w:bookmarkEnd w:id="27"/>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jc w:val="center"/>
        <w:outlineLvl w:val="0"/>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bookmarkStart w:id="28" w:name="_Toc11696"/>
      <w:r>
        <w:rPr>
          <w:rFonts w:hint="eastAsia" w:eastAsia="方正小标宋_GBK"/>
          <w:b/>
          <w:bCs/>
          <w:sz w:val="40"/>
          <w:szCs w:val="36"/>
        </w:rPr>
        <w:t>项目</w:t>
      </w:r>
      <w:bookmarkEnd w:id="28"/>
    </w:p>
    <w:p>
      <w:pPr>
        <w:widowControl w:val="0"/>
        <w:spacing w:before="312" w:beforeLines="100" w:after="312" w:afterLines="100" w:line="240" w:lineRule="auto"/>
        <w:jc w:val="center"/>
        <w:outlineLvl w:val="0"/>
        <w:rPr>
          <w:rFonts w:eastAsia="楷体_GB2312"/>
          <w:b/>
          <w:bCs/>
          <w:sz w:val="28"/>
          <w:szCs w:val="28"/>
        </w:rPr>
      </w:pPr>
      <w:bookmarkStart w:id="29" w:name="_Toc23766"/>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bookmarkEnd w:id="29"/>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outlineLvl w:val="0"/>
        <w:rPr>
          <w:rFonts w:eastAsia="方正小标宋_GBK"/>
          <w:b/>
          <w:bCs/>
          <w:spacing w:val="160"/>
          <w:sz w:val="72"/>
          <w:szCs w:val="72"/>
        </w:rPr>
      </w:pPr>
      <w:bookmarkStart w:id="30" w:name="_Toc7555"/>
      <w:r>
        <w:rPr>
          <w:rFonts w:hint="eastAsia" w:eastAsia="方正小标宋_GBK"/>
          <w:b/>
          <w:bCs/>
          <w:spacing w:val="160"/>
          <w:sz w:val="72"/>
          <w:szCs w:val="72"/>
        </w:rPr>
        <w:t>响应</w:t>
      </w:r>
      <w:r>
        <w:rPr>
          <w:rFonts w:eastAsia="方正小标宋_GBK"/>
          <w:b/>
          <w:bCs/>
          <w:spacing w:val="160"/>
          <w:sz w:val="72"/>
          <w:szCs w:val="72"/>
        </w:rPr>
        <w:t>文件</w:t>
      </w:r>
      <w:bookmarkEnd w:id="30"/>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outlineLvl w:val="0"/>
        <w:rPr>
          <w:rFonts w:eastAsia="黑体"/>
          <w:bCs/>
          <w:sz w:val="30"/>
          <w:szCs w:val="30"/>
        </w:rPr>
      </w:pPr>
      <w:bookmarkStart w:id="31" w:name="_Toc148"/>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全称并盖单位公章</w:t>
      </w:r>
      <w:bookmarkEnd w:id="31"/>
      <w:r>
        <w:rPr>
          <w:rFonts w:eastAsia="黑体"/>
          <w:bCs/>
          <w:sz w:val="30"/>
          <w:szCs w:val="30"/>
          <w:u w:val="single"/>
        </w:rPr>
        <w:t xml:space="preserve"> </w:t>
      </w:r>
    </w:p>
    <w:p>
      <w:pPr>
        <w:spacing w:line="900" w:lineRule="exact"/>
        <w:jc w:val="center"/>
        <w:outlineLvl w:val="0"/>
        <w:rPr>
          <w:rFonts w:eastAsia="黑体"/>
          <w:sz w:val="30"/>
          <w:szCs w:val="30"/>
        </w:rPr>
      </w:pPr>
      <w:bookmarkStart w:id="32" w:name="_Toc31175"/>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bookmarkEnd w:id="32"/>
    </w:p>
    <w:p>
      <w:pPr>
        <w:pStyle w:val="2"/>
        <w:ind w:firstLine="0"/>
        <w:rPr>
          <w:rFonts w:ascii="黑体" w:hAnsi="黑体" w:eastAsia="黑体" w:cs="仿宋"/>
          <w:sz w:val="36"/>
          <w:szCs w:val="36"/>
        </w:rPr>
      </w:pPr>
    </w:p>
    <w:p>
      <w:pPr>
        <w:adjustRightInd w:val="0"/>
        <w:snapToGrid w:val="0"/>
        <w:spacing w:line="600" w:lineRule="exact"/>
        <w:jc w:val="center"/>
        <w:outlineLvl w:val="0"/>
        <w:rPr>
          <w:rFonts w:ascii="黑体" w:hAnsi="黑体" w:eastAsia="黑体" w:cs="仿宋"/>
          <w:sz w:val="36"/>
          <w:szCs w:val="36"/>
        </w:rPr>
      </w:pPr>
      <w:bookmarkStart w:id="33" w:name="_Toc12780"/>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bookmarkEnd w:id="33"/>
    </w:p>
    <w:p>
      <w:pPr>
        <w:adjustRightInd w:val="0"/>
        <w:snapToGrid w:val="0"/>
        <w:spacing w:line="600" w:lineRule="exact"/>
        <w:jc w:val="both"/>
        <w:rPr>
          <w:rFonts w:ascii="宋体" w:hAnsi="宋体" w:cs="仿宋"/>
          <w:sz w:val="36"/>
          <w:szCs w:val="36"/>
        </w:rPr>
      </w:pPr>
    </w:p>
    <w:p>
      <w:pPr>
        <w:adjustRightInd w:val="0"/>
        <w:snapToGrid w:val="0"/>
        <w:spacing w:line="600" w:lineRule="exact"/>
        <w:jc w:val="both"/>
        <w:outlineLvl w:val="0"/>
      </w:pPr>
      <w:bookmarkStart w:id="34" w:name="_Toc15730"/>
      <w:r>
        <w:rPr>
          <w:rFonts w:hint="eastAsia" w:ascii="宋体" w:hAnsi="宋体" w:cs="仿宋"/>
          <w:sz w:val="24"/>
        </w:rPr>
        <w:t>一、响应函</w:t>
      </w:r>
      <w:bookmarkEnd w:id="34"/>
    </w:p>
    <w:p>
      <w:pPr>
        <w:adjustRightInd w:val="0"/>
        <w:snapToGrid w:val="0"/>
        <w:spacing w:line="600" w:lineRule="exact"/>
        <w:jc w:val="both"/>
        <w:outlineLvl w:val="0"/>
      </w:pPr>
      <w:bookmarkStart w:id="35" w:name="_Toc24943"/>
      <w:r>
        <w:rPr>
          <w:rFonts w:hint="eastAsia" w:ascii="宋体" w:hAnsi="宋体" w:cs="仿宋"/>
          <w:sz w:val="24"/>
        </w:rPr>
        <w:t>二、授权委托书(适用于有委托代理人的情况)</w:t>
      </w:r>
      <w:bookmarkEnd w:id="35"/>
    </w:p>
    <w:p>
      <w:pPr>
        <w:spacing w:line="600" w:lineRule="exact"/>
        <w:jc w:val="both"/>
        <w:outlineLvl w:val="0"/>
        <w:rPr>
          <w:rFonts w:ascii="宋体" w:hAnsi="宋体" w:cs="仿宋"/>
          <w:sz w:val="24"/>
        </w:rPr>
      </w:pPr>
      <w:bookmarkStart w:id="36" w:name="_Toc14971"/>
      <w:r>
        <w:rPr>
          <w:rFonts w:hint="eastAsia" w:ascii="宋体" w:hAnsi="宋体" w:cs="仿宋"/>
          <w:sz w:val="24"/>
        </w:rPr>
        <w:t>三、商务与技术偏差表</w:t>
      </w:r>
      <w:bookmarkEnd w:id="36"/>
    </w:p>
    <w:p>
      <w:pPr>
        <w:adjustRightInd w:val="0"/>
        <w:snapToGrid w:val="0"/>
        <w:spacing w:line="600" w:lineRule="exact"/>
        <w:jc w:val="both"/>
        <w:outlineLvl w:val="0"/>
        <w:rPr>
          <w:rFonts w:ascii="宋体" w:hAnsi="宋体" w:cs="仿宋"/>
          <w:sz w:val="24"/>
        </w:rPr>
      </w:pPr>
      <w:bookmarkStart w:id="37" w:name="_Toc22074"/>
      <w:r>
        <w:rPr>
          <w:rFonts w:hint="eastAsia" w:ascii="宋体" w:hAnsi="宋体" w:cs="仿宋"/>
          <w:sz w:val="24"/>
        </w:rPr>
        <w:t>四、报价表</w:t>
      </w:r>
      <w:bookmarkEnd w:id="37"/>
    </w:p>
    <w:p>
      <w:pPr>
        <w:adjustRightInd w:val="0"/>
        <w:snapToGrid w:val="0"/>
        <w:spacing w:line="600" w:lineRule="exact"/>
        <w:jc w:val="both"/>
        <w:outlineLvl w:val="0"/>
      </w:pPr>
      <w:bookmarkStart w:id="38" w:name="_Toc27785"/>
      <w:r>
        <w:rPr>
          <w:rFonts w:hint="eastAsia" w:ascii="宋体" w:hAnsi="宋体" w:cs="仿宋"/>
          <w:sz w:val="24"/>
        </w:rPr>
        <w:t>五、资格审查资料</w:t>
      </w:r>
      <w:bookmarkEnd w:id="38"/>
    </w:p>
    <w:p>
      <w:pPr>
        <w:adjustRightInd w:val="0"/>
        <w:snapToGrid w:val="0"/>
        <w:spacing w:line="600" w:lineRule="exact"/>
        <w:jc w:val="both"/>
        <w:outlineLvl w:val="0"/>
      </w:pPr>
      <w:bookmarkStart w:id="39" w:name="_Toc4714"/>
      <w:r>
        <w:rPr>
          <w:rFonts w:hint="eastAsia" w:ascii="宋体" w:hAnsi="宋体" w:cs="仿宋"/>
          <w:sz w:val="24"/>
        </w:rPr>
        <w:t>六、响应方案</w:t>
      </w:r>
      <w:bookmarkEnd w:id="39"/>
    </w:p>
    <w:p>
      <w:pPr>
        <w:adjustRightInd w:val="0"/>
        <w:snapToGrid w:val="0"/>
        <w:spacing w:line="600" w:lineRule="exact"/>
        <w:jc w:val="both"/>
        <w:outlineLvl w:val="0"/>
        <w:rPr>
          <w:rFonts w:ascii="宋体" w:hAnsi="宋体" w:cs="仿宋"/>
          <w:sz w:val="24"/>
        </w:rPr>
      </w:pPr>
      <w:bookmarkStart w:id="40" w:name="_Toc13831"/>
      <w:r>
        <w:rPr>
          <w:rFonts w:hint="eastAsia" w:ascii="宋体" w:hAnsi="宋体" w:cs="仿宋"/>
          <w:sz w:val="24"/>
        </w:rPr>
        <w:t>七、其他资料</w:t>
      </w:r>
      <w:bookmarkEnd w:id="40"/>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6"/>
        </w:numPr>
        <w:adjustRightInd w:val="0"/>
        <w:snapToGrid w:val="0"/>
        <w:spacing w:line="600" w:lineRule="exact"/>
        <w:jc w:val="center"/>
        <w:outlineLvl w:val="0"/>
        <w:rPr>
          <w:rFonts w:ascii="黑体" w:hAnsi="黑体" w:eastAsia="黑体" w:cs="仿宋"/>
          <w:sz w:val="36"/>
          <w:szCs w:val="36"/>
        </w:rPr>
      </w:pPr>
      <w:bookmarkStart w:id="41" w:name="_Toc23650"/>
      <w:r>
        <w:rPr>
          <w:rFonts w:hint="eastAsia" w:ascii="黑体" w:hAnsi="黑体" w:eastAsia="黑体" w:cs="仿宋"/>
          <w:sz w:val="36"/>
          <w:szCs w:val="36"/>
        </w:rPr>
        <w:t>响应函</w:t>
      </w:r>
      <w:bookmarkEnd w:id="41"/>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utoSpaceDE w:val="0"/>
        <w:spacing w:line="400" w:lineRule="exact"/>
        <w:jc w:val="both"/>
        <w:rPr>
          <w:rFonts w:ascii="宋体" w:hAnsi="宋体"/>
          <w:sz w:val="24"/>
        </w:rPr>
      </w:pPr>
      <w:r>
        <w:rPr>
          <w:rFonts w:hint="eastAsia" w:cs="仿宋" w:asciiTheme="minorEastAsia" w:hAnsiTheme="minorEastAsia" w:eastAsiaTheme="minorEastAsia"/>
          <w:sz w:val="24"/>
        </w:rPr>
        <w:t>1.我方已仔细研究了</w:t>
      </w:r>
      <w:r>
        <w:rPr>
          <w:rFonts w:cs="仿宋" w:asciiTheme="minorEastAsia" w:hAnsiTheme="minorEastAsia" w:eastAsiaTheme="minorEastAsia"/>
          <w:sz w:val="24"/>
          <w:u w:val="single"/>
        </w:rPr>
        <w:t xml:space="preserve">__                     </w:t>
      </w:r>
      <w:r>
        <w:rPr>
          <w:rFonts w:hint="eastAsia" w:cs="仿宋" w:asciiTheme="minorEastAsia" w:hAnsiTheme="minorEastAsia" w:eastAsiaTheme="minorEastAsia"/>
          <w:sz w:val="24"/>
        </w:rPr>
        <w:t>(项目名称)采购文件的全部内容，愿意以含税价人民币(大写)(￥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;增值税税率为: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)完成/提供本项目/服务，并按合同约定履行义务。施工期限为：合同签订，</w:t>
      </w:r>
      <w:r>
        <w:rPr>
          <w:rFonts w:hint="eastAsia" w:ascii="宋体" w:hAnsi="宋体"/>
          <w:sz w:val="24"/>
        </w:rPr>
        <w:t>进场开工后2</w:t>
      </w:r>
      <w:r>
        <w:rPr>
          <w:rFonts w:hint="eastAsia" w:ascii="宋体" w:hAnsi="宋体"/>
          <w:sz w:val="24"/>
          <w:lang w:val="en-US" w:eastAsia="zh-CN"/>
        </w:rPr>
        <w:t>5</w:t>
      </w:r>
      <w:r>
        <w:rPr>
          <w:rFonts w:hint="eastAsia" w:ascii="宋体" w:hAnsi="宋体"/>
          <w:sz w:val="24"/>
        </w:rPr>
        <w:t>个日历日  ，响应有效期为：90天。</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3</w:t>
      </w:r>
      <w:r>
        <w:rPr>
          <w:rFonts w:hint="eastAsia" w:cs="仿宋" w:asciiTheme="minorEastAsia" w:hAnsiTheme="minorEastAsia" w:eastAsiaTheme="minorEastAsia"/>
          <w:sz w:val="24"/>
        </w:rPr>
        <w:t>)商务和技术偏差表;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4</w:t>
      </w:r>
      <w:r>
        <w:rPr>
          <w:rFonts w:hint="eastAsia" w:cs="仿宋" w:asciiTheme="minorEastAsia" w:hAnsiTheme="minorEastAsia" w:eastAsiaTheme="minorEastAsia"/>
          <w:sz w:val="24"/>
        </w:rPr>
        <w:t>)报价表;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5</w:t>
      </w:r>
      <w:r>
        <w:rPr>
          <w:rFonts w:hint="eastAsia" w:cs="仿宋" w:asciiTheme="minorEastAsia" w:hAnsiTheme="minorEastAsia" w:eastAsiaTheme="minorEastAsia"/>
          <w:sz w:val="24"/>
        </w:rPr>
        <w:t>)资格审查资料;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6</w:t>
      </w:r>
      <w:r>
        <w:rPr>
          <w:rFonts w:hint="eastAsia" w:cs="仿宋" w:asciiTheme="minorEastAsia" w:hAnsiTheme="minorEastAsia" w:eastAsiaTheme="minorEastAsia"/>
          <w:sz w:val="24"/>
        </w:rPr>
        <w:t>)响应方案;</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7"/>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7"/>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(3)按照采购文件要求递交履约保证金;</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(4)在合同约定的期限内完成合同规定的全部义务。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6.我方在此声明，所递交的响应文件及有关资料内容完整、真实和准确，且不存在第一章“采购公告”中规定的供应商不得存在的情形。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jc w:val="right"/>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400" w:lineRule="exact"/>
        <w:jc w:val="center"/>
        <w:rPr>
          <w:rFonts w:asciiTheme="minorEastAsia" w:hAnsiTheme="minorEastAsia" w:eastAsiaTheme="minorEastAsia"/>
          <w:color w:val="000000"/>
          <w:sz w:val="24"/>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2880" w:firstLineChars="12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600" w:lineRule="exact"/>
        <w:jc w:val="center"/>
        <w:outlineLvl w:val="0"/>
        <w:rPr>
          <w:rFonts w:ascii="黑体" w:hAnsi="黑体" w:eastAsia="黑体" w:cs="仿宋"/>
          <w:sz w:val="36"/>
          <w:szCs w:val="36"/>
        </w:rPr>
      </w:pPr>
      <w:r>
        <w:rPr>
          <w:rFonts w:hint="eastAsia" w:cs="仿宋" w:asciiTheme="minorEastAsia" w:hAnsiTheme="minorEastAsia" w:eastAsiaTheme="minorEastAsia"/>
          <w:sz w:val="24"/>
        </w:rPr>
        <w:br w:type="page"/>
      </w:r>
      <w:bookmarkStart w:id="42" w:name="_Toc747"/>
      <w:r>
        <w:rPr>
          <w:rFonts w:hint="eastAsia" w:ascii="黑体" w:hAnsi="黑体" w:eastAsia="黑体" w:cs="仿宋"/>
          <w:sz w:val="36"/>
          <w:szCs w:val="36"/>
        </w:rPr>
        <w:t>二、授权委托书</w:t>
      </w:r>
      <w:bookmarkEnd w:id="42"/>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right"/>
        <w:rPr>
          <w:rFonts w:cs="仿宋" w:asciiTheme="minorEastAsia" w:hAnsiTheme="minorEastAsia" w:eastAsiaTheme="minorEastAsia"/>
          <w:sz w:val="24"/>
        </w:rPr>
      </w:pPr>
      <w:r>
        <w:rPr>
          <w:rFonts w:hint="eastAsia" w:cs="仿宋" w:asciiTheme="minorEastAsia" w:hAnsiTheme="minorEastAsia" w:eastAsiaTheme="minorEastAsia"/>
          <w:sz w:val="24"/>
        </w:rPr>
        <w:t>年   月   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43" w:name="_Toc6895"/>
      <w:r>
        <w:rPr>
          <w:rFonts w:hint="eastAsia" w:ascii="黑体" w:hAnsi="黑体" w:eastAsia="黑体" w:cs="仿宋"/>
          <w:sz w:val="36"/>
          <w:szCs w:val="36"/>
        </w:rPr>
        <w:t>三、商务和技术偏差表</w:t>
      </w:r>
      <w:bookmarkEnd w:id="43"/>
    </w:p>
    <w:p>
      <w:pPr>
        <w:spacing w:line="600" w:lineRule="exact"/>
        <w:jc w:val="center"/>
        <w:rPr>
          <w:rFonts w:cs="仿宋" w:asciiTheme="minorEastAsia" w:hAnsiTheme="minorEastAsia" w:eastAsiaTheme="minorEastAsia"/>
          <w:sz w:val="24"/>
        </w:rPr>
      </w:pPr>
    </w:p>
    <w:tbl>
      <w:tblPr>
        <w:tblStyle w:val="17"/>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809"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56"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175"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240" w:lineRule="auto"/>
        <w:rPr>
          <w:rFonts w:ascii="黑体" w:hAnsi="黑体" w:eastAsia="黑体" w:cs="仿宋"/>
          <w:color w:val="FF0000"/>
          <w:sz w:val="36"/>
          <w:szCs w:val="36"/>
        </w:rPr>
      </w:pPr>
      <w:r>
        <w:rPr>
          <w:rFonts w:hint="eastAsia" w:ascii="黑体" w:hAnsi="黑体" w:eastAsia="黑体" w:cs="仿宋"/>
          <w:sz w:val="36"/>
          <w:szCs w:val="36"/>
        </w:rPr>
        <w:br w:type="page"/>
      </w:r>
    </w:p>
    <w:p>
      <w:pPr>
        <w:spacing w:line="600" w:lineRule="exact"/>
        <w:ind w:left="420"/>
        <w:jc w:val="center"/>
        <w:outlineLvl w:val="0"/>
        <w:rPr>
          <w:rFonts w:ascii="黑体" w:hAnsi="黑体" w:eastAsia="黑体" w:cs="仿宋"/>
          <w:sz w:val="36"/>
          <w:szCs w:val="36"/>
        </w:rPr>
      </w:pPr>
      <w:bookmarkStart w:id="44" w:name="_Toc26297"/>
      <w:r>
        <w:rPr>
          <w:rFonts w:hint="eastAsia" w:ascii="黑体" w:hAnsi="黑体" w:eastAsia="黑体" w:cs="仿宋"/>
          <w:sz w:val="36"/>
          <w:szCs w:val="36"/>
        </w:rPr>
        <w:t>四、报价表</w:t>
      </w:r>
      <w:bookmarkEnd w:id="44"/>
    </w:p>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1.报价表说明</w:t>
      </w:r>
    </w:p>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2.报价表</w:t>
      </w:r>
    </w:p>
    <w:tbl>
      <w:tblPr>
        <w:tblStyle w:val="16"/>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1"/>
        <w:gridCol w:w="2588"/>
        <w:gridCol w:w="2445"/>
        <w:gridCol w:w="803"/>
        <w:gridCol w:w="653"/>
        <w:gridCol w:w="653"/>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525"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6#堆场排水沟盖板改造项目清单表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58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子目名称</w:t>
            </w:r>
          </w:p>
        </w:tc>
        <w:tc>
          <w:tcPr>
            <w:tcW w:w="244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内容描述</w:t>
            </w:r>
          </w:p>
        </w:tc>
        <w:tc>
          <w:tcPr>
            <w:tcW w:w="80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65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65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w:t>
            </w:r>
          </w:p>
        </w:tc>
        <w:tc>
          <w:tcPr>
            <w:tcW w:w="79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钢筋砼盖板拆除（407块）</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0.61m*0.58m*0.16m</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废旧盖板外运3km</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0.61m*0.58m*0.16m</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砼排水沟地面两边修整</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72m*2边*2条</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原排水沟内渣石清理</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0.36m*0.10m*236m</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渣石外运</w:t>
            </w:r>
            <w:r>
              <w:rPr>
                <w:rStyle w:val="27"/>
                <w:lang w:val="en-US" w:eastAsia="zh-CN" w:bidi="ar"/>
              </w:rPr>
              <w:t>3km</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0.36m*0.10m*236m</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排水沟现浇装模</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135*0.42</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现浇盖板钢筋制作（底层）</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w:t>
            </w:r>
            <w:r>
              <w:rPr>
                <w:rStyle w:val="28"/>
                <w:lang w:val="en-US" w:eastAsia="zh-CN" w:bidi="ar"/>
              </w:rPr>
              <w:t>¢16*0.62m*910根，¢10*670m</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钢筋制作面层</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¢12*0.62m*675根，¢10*670m</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现浇盖板C40商品砼浇筑</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135*0.65*0.19</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固定钢筋</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¢10*2.7m*230个</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预制盖板钢筋制作</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(¢16*0.59m*9根+¢12*0.59m*5根)*78块</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钢筋箍筋</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¢8*（2.7m*6根+1.9m*6根）*78块</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钢筋起弯筋</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¢12*1.1m*78根</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预制盖板装模（15套）</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3.7m*0.2m*15套</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预制盖板C40商品砼浇筑</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1.2*0.62*0.16*78块</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盖板安装沟墙体面砂浆找平</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2.4*0.2*78块</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预制盖板安装（块）</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1.2*0.61*0.16*78块</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排水沟盖板砼养护</w:t>
            </w:r>
          </w:p>
        </w:tc>
        <w:tc>
          <w:tcPr>
            <w:tcW w:w="2445"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工日</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货场地面维修</w:t>
            </w:r>
          </w:p>
        </w:tc>
        <w:tc>
          <w:tcPr>
            <w:tcW w:w="2445"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80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砼地面拆除（厚0.25cm)</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50*3*0.25</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渣石清理外运3km</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50*3*0.25</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场地清理放线装模</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地面钢筋Φ8mm单层双向@200*200mm</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（252*3+17*50）*Φ8</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地面浇注C40商品砼</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50*3*0.25</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地面压纹</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地面切逢（深度6cm以上）</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沥青灌逢</w:t>
            </w:r>
          </w:p>
        </w:tc>
        <w:tc>
          <w:tcPr>
            <w:tcW w:w="244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地面养护</w:t>
            </w:r>
          </w:p>
        </w:tc>
        <w:tc>
          <w:tcPr>
            <w:tcW w:w="2445"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8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工日</w:t>
            </w: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5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场地清理</w:t>
            </w:r>
          </w:p>
        </w:tc>
        <w:tc>
          <w:tcPr>
            <w:tcW w:w="2445"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80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default" w:ascii="Calibri" w:hAnsi="Calibri" w:eastAsia="宋体" w:cs="Calibri"/>
                <w:i w:val="0"/>
                <w:iCs w:val="0"/>
                <w:color w:val="000000"/>
                <w:sz w:val="21"/>
                <w:szCs w:val="21"/>
                <w:u w:val="none"/>
              </w:rPr>
            </w:pPr>
          </w:p>
        </w:tc>
        <w:tc>
          <w:tcPr>
            <w:tcW w:w="653"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92"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525" w:type="dxa"/>
            <w:gridSpan w:val="7"/>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本页报价费用合计：</w:t>
            </w:r>
          </w:p>
        </w:tc>
      </w:tr>
    </w:tbl>
    <w:p>
      <w:pPr>
        <w:pStyle w:val="2"/>
        <w:ind w:left="0" w:leftChars="0" w:firstLine="0" w:firstLineChars="0"/>
      </w:pPr>
    </w:p>
    <w:p>
      <w:pPr>
        <w:numPr>
          <w:ilvl w:val="255"/>
          <w:numId w:val="0"/>
        </w:numPr>
        <w:adjustRightInd w:val="0"/>
        <w:snapToGrid w:val="0"/>
        <w:spacing w:line="312" w:lineRule="auto"/>
        <w:ind w:firstLine="480" w:firstLineChars="200"/>
        <w:rPr>
          <w:rFonts w:ascii="宋体" w:hAnsi="宋体" w:cs="宋体"/>
          <w:sz w:val="24"/>
        </w:rPr>
      </w:pPr>
      <w:r>
        <w:rPr>
          <w:rFonts w:hint="eastAsia" w:ascii="宋体" w:hAnsi="宋体" w:cs="宋体"/>
          <w:sz w:val="24"/>
        </w:rPr>
        <w:t>综合单价包括：相应所有直接费、各种技术措施费用、管理费、利润、安全文明施工费、冬雨季施工增加费、社会保险费、规费、税金（一般纳税人）、从指定的水电接驳点接水接电费用及夜间施工照明费用、合同工期内的赶工费、各种施工风险因素后的综合单价</w:t>
      </w:r>
    </w:p>
    <w:p>
      <w:pPr>
        <w:jc w:val="center"/>
        <w:rPr>
          <w:rFonts w:cs="仿宋" w:asciiTheme="minorEastAsia" w:hAnsiTheme="minorEastAsia" w:eastAsiaTheme="minorEastAsia"/>
          <w:sz w:val="24"/>
        </w:rPr>
      </w:pPr>
    </w:p>
    <w:p>
      <w:pPr>
        <w:jc w:val="center"/>
        <w:outlineLvl w:val="0"/>
        <w:rPr>
          <w:rFonts w:ascii="黑体" w:hAnsi="黑体" w:eastAsia="黑体" w:cs="仿宋"/>
          <w:sz w:val="36"/>
          <w:szCs w:val="36"/>
        </w:rPr>
      </w:pPr>
      <w:bookmarkStart w:id="45" w:name="_Toc25545"/>
      <w:r>
        <w:rPr>
          <w:rFonts w:hint="eastAsia" w:ascii="黑体" w:hAnsi="黑体" w:eastAsia="黑体" w:cs="仿宋"/>
          <w:sz w:val="36"/>
          <w:szCs w:val="36"/>
        </w:rPr>
        <w:t>五、资格审查资料</w:t>
      </w:r>
      <w:bookmarkEnd w:id="45"/>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w:t>
      </w:r>
    </w:p>
    <w:tbl>
      <w:tblPr>
        <w:tblStyle w:val="17"/>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617"/>
        <w:gridCol w:w="1678"/>
        <w:gridCol w:w="1718"/>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服务内容</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委托人/发包人名称</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委托人/发包人联系人及电话</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服务是否完成</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项目负责人（如有）</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numPr>
          <w:ilvl w:val="0"/>
          <w:numId w:val="4"/>
        </w:num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拟委任的主要人员汇总表</w:t>
      </w:r>
    </w:p>
    <w:tbl>
      <w:tblPr>
        <w:tblStyle w:val="17"/>
        <w:tblpPr w:leftFromText="180" w:rightFromText="180" w:vertAnchor="text" w:horzAnchor="page" w:tblpX="1267" w:tblpY="487"/>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095"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本项目任职</w:t>
            </w:r>
          </w:p>
        </w:tc>
        <w:tc>
          <w:tcPr>
            <w:tcW w:w="1095"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姓名</w:t>
            </w:r>
          </w:p>
        </w:tc>
        <w:tc>
          <w:tcPr>
            <w:tcW w:w="1095"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职称</w:t>
            </w:r>
          </w:p>
        </w:tc>
        <w:tc>
          <w:tcPr>
            <w:tcW w:w="1095"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专业</w:t>
            </w:r>
          </w:p>
        </w:tc>
        <w:tc>
          <w:tcPr>
            <w:tcW w:w="3285" w:type="dxa"/>
            <w:gridSpan w:val="3"/>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执业或职业资格证明</w:t>
            </w:r>
          </w:p>
        </w:tc>
        <w:tc>
          <w:tcPr>
            <w:tcW w:w="1095"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证书名称</w:t>
            </w:r>
          </w:p>
        </w:tc>
        <w:tc>
          <w:tcPr>
            <w:tcW w:w="1095"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级别</w:t>
            </w:r>
          </w:p>
        </w:tc>
        <w:tc>
          <w:tcPr>
            <w:tcW w:w="1095"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证号</w:t>
            </w:r>
          </w:p>
        </w:tc>
        <w:tc>
          <w:tcPr>
            <w:tcW w:w="1095"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095"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w:t>
            </w: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4" w:type="dxa"/>
          </w:tcPr>
          <w:p>
            <w:pPr>
              <w:widowControl/>
              <w:spacing w:line="600" w:lineRule="exact"/>
              <w:jc w:val="both"/>
              <w:rPr>
                <w:rFonts w:cs="仿宋" w:asciiTheme="minorEastAsia" w:hAnsiTheme="minorEastAsia" w:eastAsiaTheme="minorEastAsia"/>
                <w:sz w:val="24"/>
              </w:rPr>
            </w:pPr>
            <w:r>
              <w:rPr>
                <w:rFonts w:cs="仿宋" w:asciiTheme="minorEastAsia" w:hAnsiTheme="minorEastAsia" w:eastAsiaTheme="minorEastAsia"/>
                <w:sz w:val="24"/>
              </w:rPr>
              <w:t>2</w:t>
            </w:r>
          </w:p>
        </w:tc>
        <w:tc>
          <w:tcPr>
            <w:tcW w:w="1095"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项目安全员</w:t>
            </w: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r>
              <w:rPr>
                <w:rFonts w:cs="仿宋" w:asciiTheme="minorEastAsia" w:hAnsiTheme="minorEastAsia" w:eastAsiaTheme="minorEastAsia"/>
                <w:sz w:val="24"/>
              </w:rPr>
              <w:t>3</w:t>
            </w:r>
          </w:p>
        </w:tc>
        <w:tc>
          <w:tcPr>
            <w:tcW w:w="1095"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施工员 </w:t>
            </w: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bl>
    <w:p>
      <w:pPr>
        <w:jc w:val="both"/>
        <w:rPr>
          <w:rFonts w:asciiTheme="minorEastAsia" w:hAnsiTheme="minorEastAsia" w:eastAsiaTheme="minorEastAsia"/>
          <w:sz w:val="24"/>
        </w:rPr>
      </w:pPr>
    </w:p>
    <w:p>
      <w:pPr>
        <w:pStyle w:val="5"/>
        <w:spacing w:before="0" w:after="0" w:line="380" w:lineRule="atLeast"/>
        <w:jc w:val="both"/>
        <w:rPr>
          <w:rFonts w:asciiTheme="minorEastAsia" w:hAnsiTheme="minorEastAsia" w:eastAsiaTheme="minorEastAsia"/>
          <w:b w:val="0"/>
          <w:sz w:val="24"/>
          <w:szCs w:val="24"/>
        </w:rPr>
      </w:pPr>
    </w:p>
    <w:p>
      <w:pPr>
        <w:rPr>
          <w:rFonts w:asciiTheme="minorEastAsia" w:hAnsiTheme="minorEastAsia" w:eastAsiaTheme="minorEastAsia"/>
          <w:sz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hint="eastAsia" w:asciiTheme="minorEastAsia" w:hAnsiTheme="minorEastAsia" w:eastAsiaTheme="minorEastAsia"/>
          <w:szCs w:val="24"/>
        </w:rPr>
      </w:pPr>
    </w:p>
    <w:p>
      <w:pPr>
        <w:pStyle w:val="2"/>
        <w:rPr>
          <w:rFonts w:asciiTheme="minorEastAsia" w:hAnsiTheme="minorEastAsia" w:eastAsiaTheme="minorEastAsia"/>
          <w:szCs w:val="24"/>
        </w:rPr>
      </w:pPr>
    </w:p>
    <w:p>
      <w:pPr>
        <w:pStyle w:val="5"/>
        <w:spacing w:before="0" w:after="0" w:line="380" w:lineRule="atLeast"/>
        <w:jc w:val="both"/>
        <w:rPr>
          <w:rFonts w:asciiTheme="minorEastAsia" w:hAnsiTheme="minorEastAsia" w:eastAsiaTheme="minorEastAsia"/>
          <w:b w:val="0"/>
          <w:sz w:val="24"/>
          <w:szCs w:val="24"/>
        </w:rPr>
      </w:pPr>
      <w:bookmarkStart w:id="46" w:name="_Toc14209"/>
      <w:r>
        <w:rPr>
          <w:rFonts w:hint="eastAsia" w:asciiTheme="minorEastAsia" w:hAnsiTheme="minorEastAsia" w:eastAsiaTheme="minorEastAsia"/>
          <w:b w:val="0"/>
          <w:sz w:val="24"/>
          <w:szCs w:val="24"/>
        </w:rPr>
        <w:t>（</w:t>
      </w:r>
      <w:r>
        <w:rPr>
          <w:rFonts w:hint="eastAsia" w:asciiTheme="minorEastAsia" w:hAnsiTheme="minorEastAsia" w:eastAsiaTheme="minorEastAsia"/>
          <w:b w:val="0"/>
          <w:sz w:val="24"/>
          <w:szCs w:val="24"/>
          <w:lang w:val="en-US" w:eastAsia="zh-CN"/>
        </w:rPr>
        <w:t>七</w:t>
      </w:r>
      <w:r>
        <w:rPr>
          <w:rFonts w:hint="eastAsia" w:asciiTheme="minorEastAsia" w:hAnsiTheme="minorEastAsia" w:eastAsiaTheme="minorEastAsia"/>
          <w:b w:val="0"/>
          <w:sz w:val="24"/>
          <w:szCs w:val="24"/>
        </w:rPr>
        <w:t>）主要人员简</w:t>
      </w:r>
      <w:r>
        <w:rPr>
          <w:rFonts w:asciiTheme="minorEastAsia" w:hAnsiTheme="minorEastAsia" w:eastAsiaTheme="minorEastAsia"/>
          <w:b w:val="0"/>
          <w:sz w:val="24"/>
          <w:szCs w:val="24"/>
        </w:rPr>
        <w:t>历表</w:t>
      </w:r>
      <w:bookmarkEnd w:id="46"/>
    </w:p>
    <w:p>
      <w:pPr>
        <w:autoSpaceDE w:val="0"/>
        <w:autoSpaceDN w:val="0"/>
        <w:spacing w:line="400" w:lineRule="atLeast"/>
        <w:jc w:val="both"/>
        <w:textAlignment w:val="bottom"/>
        <w:rPr>
          <w:rFonts w:asciiTheme="minorEastAsia" w:hAnsiTheme="minorEastAsia" w:eastAsiaTheme="minorEastAsia"/>
          <w:sz w:val="24"/>
        </w:rPr>
      </w:pPr>
    </w:p>
    <w:tbl>
      <w:tblPr>
        <w:tblStyle w:val="16"/>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71"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姓    名</w:t>
            </w:r>
          </w:p>
        </w:tc>
        <w:tc>
          <w:tcPr>
            <w:tcW w:w="1671" w:type="dxa"/>
            <w:gridSpan w:val="2"/>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1177"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年    龄</w:t>
            </w:r>
          </w:p>
        </w:tc>
        <w:tc>
          <w:tcPr>
            <w:tcW w:w="1534" w:type="dxa"/>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2088" w:type="dxa"/>
            <w:gridSpan w:val="2"/>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hint="eastAsia" w:cs="仿宋" w:asciiTheme="minorEastAsia" w:hAnsiTheme="minorEastAsia" w:eastAsiaTheme="minorEastAsia"/>
                <w:sz w:val="24"/>
              </w:rPr>
              <w:t>执业或职业资格证书名称</w:t>
            </w:r>
          </w:p>
        </w:tc>
        <w:tc>
          <w:tcPr>
            <w:tcW w:w="1853" w:type="dxa"/>
            <w:gridSpan w:val="2"/>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371"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职称</w:t>
            </w:r>
          </w:p>
        </w:tc>
        <w:tc>
          <w:tcPr>
            <w:tcW w:w="1671" w:type="dxa"/>
            <w:gridSpan w:val="2"/>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1177"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学    历</w:t>
            </w:r>
          </w:p>
        </w:tc>
        <w:tc>
          <w:tcPr>
            <w:tcW w:w="1534" w:type="dxa"/>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2088" w:type="dxa"/>
            <w:gridSpan w:val="2"/>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拟在本</w:t>
            </w:r>
            <w:r>
              <w:rPr>
                <w:rFonts w:hint="eastAsia" w:asciiTheme="minorEastAsia" w:hAnsiTheme="minorEastAsia" w:eastAsiaTheme="minorEastAsia"/>
                <w:sz w:val="24"/>
              </w:rPr>
              <w:t>项目</w:t>
            </w:r>
            <w:r>
              <w:rPr>
                <w:rFonts w:asciiTheme="minorEastAsia" w:hAnsiTheme="minorEastAsia" w:eastAsiaTheme="minorEastAsia"/>
                <w:sz w:val="24"/>
              </w:rPr>
              <w:t>任职</w:t>
            </w:r>
          </w:p>
        </w:tc>
        <w:tc>
          <w:tcPr>
            <w:tcW w:w="1853" w:type="dxa"/>
            <w:gridSpan w:val="2"/>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工作年限</w:t>
            </w:r>
          </w:p>
        </w:tc>
        <w:tc>
          <w:tcPr>
            <w:tcW w:w="4382" w:type="dxa"/>
            <w:gridSpan w:val="4"/>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2088" w:type="dxa"/>
            <w:gridSpan w:val="2"/>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hint="eastAsia" w:asciiTheme="minorEastAsia" w:hAnsiTheme="minorEastAsia" w:eastAsiaTheme="minorEastAsia"/>
                <w:sz w:val="24"/>
              </w:rPr>
              <w:t>从事</w:t>
            </w:r>
            <w:r>
              <w:rPr>
                <w:rFonts w:asciiTheme="minorEastAsia" w:hAnsiTheme="minorEastAsia" w:eastAsiaTheme="minorEastAsia"/>
                <w:sz w:val="24"/>
              </w:rPr>
              <w:t>类似</w:t>
            </w:r>
            <w:r>
              <w:rPr>
                <w:rFonts w:hint="eastAsia" w:asciiTheme="minorEastAsia" w:hAnsiTheme="minorEastAsia" w:eastAsiaTheme="minorEastAsia"/>
                <w:sz w:val="24"/>
              </w:rPr>
              <w:t>工作</w:t>
            </w:r>
            <w:r>
              <w:rPr>
                <w:rFonts w:asciiTheme="minorEastAsia" w:hAnsiTheme="minorEastAsia" w:eastAsiaTheme="minorEastAsia"/>
                <w:sz w:val="24"/>
              </w:rPr>
              <w:t>年限</w:t>
            </w:r>
          </w:p>
        </w:tc>
        <w:tc>
          <w:tcPr>
            <w:tcW w:w="1853" w:type="dxa"/>
            <w:gridSpan w:val="2"/>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毕业学校</w:t>
            </w:r>
          </w:p>
        </w:tc>
        <w:tc>
          <w:tcPr>
            <w:tcW w:w="8323" w:type="dxa"/>
            <w:gridSpan w:val="8"/>
            <w:vAlign w:val="center"/>
          </w:tcPr>
          <w:p>
            <w:pPr>
              <w:autoSpaceDE w:val="0"/>
              <w:autoSpaceDN w:val="0"/>
              <w:spacing w:before="78" w:beforeLines="25" w:after="78" w:afterLines="25" w:line="288" w:lineRule="auto"/>
              <w:ind w:left="-187" w:leftChars="-89"/>
              <w:jc w:val="both"/>
              <w:textAlignment w:val="bottom"/>
              <w:rPr>
                <w:rFonts w:asciiTheme="minorEastAsia" w:hAnsiTheme="minorEastAsia" w:eastAsiaTheme="minorEastAsia"/>
                <w:sz w:val="24"/>
              </w:rPr>
            </w:pPr>
            <w:r>
              <w:rPr>
                <w:rFonts w:asciiTheme="minorEastAsia" w:hAnsiTheme="minorEastAsia" w:eastAsiaTheme="minorEastAsia"/>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hint="eastAsia" w:asciiTheme="minorEastAsia" w:hAnsiTheme="minorEastAsia" w:eastAsiaTheme="minorEastAsia"/>
                <w:sz w:val="24"/>
              </w:rPr>
              <w:t>主要工作</w:t>
            </w:r>
            <w:r>
              <w:rPr>
                <w:rFonts w:asciiTheme="minorEastAsia" w:hAnsiTheme="minorEastAsia" w:eastAsiaTheme="minorEastAsia"/>
                <w:sz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时  间</w:t>
            </w:r>
          </w:p>
        </w:tc>
        <w:tc>
          <w:tcPr>
            <w:tcW w:w="4700" w:type="dxa"/>
            <w:gridSpan w:val="4"/>
            <w:vAlign w:val="center"/>
          </w:tcPr>
          <w:p>
            <w:pPr>
              <w:pStyle w:val="26"/>
              <w:adjustRightInd/>
              <w:snapToGrid/>
              <w:spacing w:before="78" w:beforeLines="25" w:after="78" w:afterLines="25" w:line="288" w:lineRule="auto"/>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参加过的类似项目</w:t>
            </w:r>
          </w:p>
        </w:tc>
        <w:tc>
          <w:tcPr>
            <w:tcW w:w="2142" w:type="dxa"/>
            <w:gridSpan w:val="2"/>
            <w:vAlign w:val="center"/>
          </w:tcPr>
          <w:p>
            <w:pPr>
              <w:pStyle w:val="26"/>
              <w:adjustRightInd/>
              <w:snapToGrid/>
              <w:spacing w:before="78" w:beforeLines="25" w:after="78" w:afterLines="25" w:line="288" w:lineRule="auto"/>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担任职务</w:t>
            </w:r>
          </w:p>
        </w:tc>
        <w:tc>
          <w:tcPr>
            <w:tcW w:w="1425" w:type="dxa"/>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注：供应商应根据供应商须知前附表第3.5（6）项的要求在本表后附相关证明材料。</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ascii="黑体" w:hAnsi="黑体" w:eastAsia="黑体" w:cs="仿宋"/>
          <w:sz w:val="36"/>
          <w:szCs w:val="36"/>
        </w:rPr>
      </w:pPr>
      <w:bookmarkStart w:id="47" w:name="_Toc22288"/>
      <w:r>
        <w:rPr>
          <w:rFonts w:hint="eastAsia" w:ascii="黑体" w:hAnsi="黑体" w:eastAsia="黑体" w:cs="仿宋"/>
          <w:sz w:val="36"/>
          <w:szCs w:val="36"/>
        </w:rPr>
        <w:t>六、响应方案</w:t>
      </w:r>
      <w:bookmarkEnd w:id="47"/>
    </w:p>
    <w:p>
      <w:pPr>
        <w:pStyle w:val="2"/>
      </w:pP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响应方案一般包括(但不限于)下列内容:</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(1)对项目的理解;</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(2)服务范围及内容;</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(3)服务工作的依据、工作目标;</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(4)服务机构设置(框图)、岗位职责;</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(5)拟投入本项目的服务人员及主要人员简历;</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(6)拟分包计划及情况说明;</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(7)服务质量、进度、保密等保证措施;</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(8)服务工作重点、难点分析;</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(9)对本项目的合理化建议。</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ascii="黑体" w:hAnsi="黑体" w:eastAsia="黑体" w:cs="仿宋"/>
          <w:sz w:val="36"/>
          <w:szCs w:val="36"/>
        </w:rPr>
      </w:pPr>
      <w:bookmarkStart w:id="48" w:name="_Toc30187"/>
      <w:r>
        <w:rPr>
          <w:rFonts w:hint="eastAsia" w:ascii="黑体" w:hAnsi="黑体" w:eastAsia="黑体" w:cs="仿宋"/>
          <w:sz w:val="36"/>
          <w:szCs w:val="36"/>
        </w:rPr>
        <w:t>七、其他资料</w:t>
      </w:r>
      <w:bookmarkEnd w:id="48"/>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240" w:lineRule="auto"/>
        <w:jc w:val="both"/>
      </w:pPr>
    </w:p>
    <w:p>
      <w:pPr>
        <w:pStyle w:val="2"/>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A005E"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tabs>
                              <w:tab w:val="center" w:pos="4153"/>
                              <w:tab w:val="right" w:pos="8306"/>
                            </w:tabs>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tabs>
                        <w:tab w:val="center" w:pos="4153"/>
                        <w:tab w:val="right" w:pos="8306"/>
                      </w:tabs>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13"/>
        <w:spacing w:line="280" w:lineRule="atLeast"/>
        <w:ind w:left="180" w:hanging="180" w:hangingChars="100"/>
      </w:pPr>
      <w:r>
        <w:rPr>
          <w:rStyle w:val="20"/>
        </w:rPr>
        <w:footnoteRef/>
      </w:r>
      <w:r>
        <w:t xml:space="preserve"> </w:t>
      </w:r>
      <w:r>
        <w:rPr>
          <w:rFonts w:hint="eastAsia"/>
        </w:rPr>
        <w:t>a.“供应商须知前附表”用于进一步明确正文中的未尽事宜，由采购人根据采购项目具体特点和实际需要编制和填写，且</w:t>
      </w:r>
      <w:r>
        <w:t>应</w:t>
      </w:r>
      <w:r>
        <w:rPr>
          <w:rFonts w:hint="eastAsia"/>
        </w:rPr>
        <w:t>与采购文件中其他章节相衔接，并不得与本章正文内容相抵触。</w:t>
      </w:r>
    </w:p>
    <w:p>
      <w:pPr>
        <w:pStyle w:val="13"/>
        <w:spacing w:line="280" w:lineRule="atLeast"/>
        <w:ind w:left="0" w:firstLine="0"/>
      </w:pPr>
      <w:r>
        <w:rPr>
          <w:rFonts w:hint="eastAsia"/>
        </w:rPr>
        <w:t>b.</w:t>
      </w:r>
      <w:r>
        <w:rPr>
          <w:rFonts w:hint="eastAsia" w:hAnsi="宋体" w:cs="宋体-18030"/>
        </w:rPr>
        <w:t>“供应商须知前附表”中的附录表格同属“供应商须知前附表”内容，具有同等效力。</w:t>
      </w:r>
    </w:p>
  </w:footnote>
  <w:footnote w:id="1">
    <w:p>
      <w:pPr>
        <w:pStyle w:val="13"/>
        <w:rPr>
          <w:sz w:val="24"/>
          <w:szCs w:val="24"/>
        </w:rPr>
      </w:pPr>
      <w:r>
        <w:rPr>
          <w:rStyle w:val="20"/>
          <w:sz w:val="24"/>
          <w:szCs w:val="24"/>
        </w:rPr>
        <w:footnoteRef/>
      </w:r>
      <w:r>
        <w:rPr>
          <w:rStyle w:val="20"/>
          <w:sz w:val="24"/>
          <w:szCs w:val="24"/>
        </w:rPr>
        <w:t>4</w:t>
      </w:r>
      <w:r>
        <w:rPr>
          <w:rFonts w:hint="eastAsia"/>
          <w:sz w:val="24"/>
          <w:szCs w:val="24"/>
        </w:rPr>
        <w:t>仅适用于询价采购和竞争性谈判。</w:t>
      </w:r>
    </w:p>
  </w:footnote>
  <w:footnote w:id="2">
    <w:p>
      <w:pPr>
        <w:pStyle w:val="13"/>
        <w:rPr>
          <w:sz w:val="24"/>
          <w:szCs w:val="24"/>
        </w:rPr>
      </w:pPr>
      <w:r>
        <w:rPr>
          <w:rStyle w:val="20"/>
          <w:sz w:val="24"/>
          <w:szCs w:val="24"/>
        </w:rPr>
        <w:footnoteRef/>
      </w:r>
      <w:r>
        <w:rPr>
          <w:rStyle w:val="20"/>
          <w:sz w:val="24"/>
          <w:szCs w:val="24"/>
        </w:rPr>
        <w:t>4</w:t>
      </w:r>
      <w:r>
        <w:rPr>
          <w:rFonts w:hint="eastAsia"/>
          <w:sz w:val="24"/>
          <w:szCs w:val="24"/>
        </w:rPr>
        <w:t>仅适用于询价采购。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34B65"/>
    <w:multiLevelType w:val="singleLevel"/>
    <w:tmpl w:val="87E34B65"/>
    <w:lvl w:ilvl="0" w:tentative="0">
      <w:start w:val="5"/>
      <w:numFmt w:val="chineseCounting"/>
      <w:suff w:val="space"/>
      <w:lvlText w:val="第%1章"/>
      <w:lvlJc w:val="left"/>
      <w:rPr>
        <w:rFonts w:hint="eastAsia"/>
      </w:rPr>
    </w:lvl>
  </w:abstractNum>
  <w:abstractNum w:abstractNumId="1">
    <w:nsid w:val="C94ECB7D"/>
    <w:multiLevelType w:val="singleLevel"/>
    <w:tmpl w:val="C94ECB7D"/>
    <w:lvl w:ilvl="0" w:tentative="0">
      <w:start w:val="1"/>
      <w:numFmt w:val="chineseCounting"/>
      <w:suff w:val="nothing"/>
      <w:lvlText w:val="（%1）"/>
      <w:lvlJc w:val="left"/>
      <w:rPr>
        <w:rFonts w:hint="eastAsia"/>
      </w:rPr>
    </w:lvl>
  </w:abstractNum>
  <w:abstractNum w:abstractNumId="2">
    <w:nsid w:val="F47DEE3A"/>
    <w:multiLevelType w:val="singleLevel"/>
    <w:tmpl w:val="F47DEE3A"/>
    <w:lvl w:ilvl="0" w:tentative="0">
      <w:start w:val="1"/>
      <w:numFmt w:val="decimal"/>
      <w:suff w:val="nothing"/>
      <w:lvlText w:val="%1）"/>
      <w:lvlJc w:val="left"/>
    </w:lvl>
  </w:abstractNum>
  <w:abstractNum w:abstractNumId="3">
    <w:nsid w:val="03ECED67"/>
    <w:multiLevelType w:val="singleLevel"/>
    <w:tmpl w:val="03ECED67"/>
    <w:lvl w:ilvl="0" w:tentative="0">
      <w:start w:val="4"/>
      <w:numFmt w:val="decimal"/>
      <w:lvlText w:val="%1."/>
      <w:lvlJc w:val="left"/>
      <w:pPr>
        <w:tabs>
          <w:tab w:val="left" w:pos="312"/>
        </w:tabs>
      </w:pPr>
    </w:lvl>
  </w:abstractNum>
  <w:abstractNum w:abstractNumId="4">
    <w:nsid w:val="109D33D8"/>
    <w:multiLevelType w:val="singleLevel"/>
    <w:tmpl w:val="109D33D8"/>
    <w:lvl w:ilvl="0" w:tentative="0">
      <w:start w:val="2"/>
      <w:numFmt w:val="chineseCounting"/>
      <w:suff w:val="nothing"/>
      <w:lvlText w:val="%1、"/>
      <w:lvlJc w:val="left"/>
      <w:rPr>
        <w:rFonts w:hint="eastAsia"/>
      </w:rPr>
    </w:lvl>
  </w:abstractNum>
  <w:abstractNum w:abstractNumId="5">
    <w:nsid w:val="3601A173"/>
    <w:multiLevelType w:val="singleLevel"/>
    <w:tmpl w:val="3601A173"/>
    <w:lvl w:ilvl="0" w:tentative="0">
      <w:start w:val="1"/>
      <w:numFmt w:val="chineseCounting"/>
      <w:suff w:val="nothing"/>
      <w:lvlText w:val="%1、"/>
      <w:lvlJc w:val="left"/>
      <w:rPr>
        <w:rFonts w:hint="eastAsia"/>
      </w:rPr>
    </w:lvl>
  </w:abstractNum>
  <w:abstractNum w:abstractNumId="6">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ZTJkMTI5N2U4MGJiZDRiODkxNWM3MWY3YzEwNGEifQ=="/>
  </w:docVars>
  <w:rsids>
    <w:rsidRoot w:val="004F37D1"/>
    <w:rsid w:val="000C0523"/>
    <w:rsid w:val="000F2955"/>
    <w:rsid w:val="002E5118"/>
    <w:rsid w:val="004F37D1"/>
    <w:rsid w:val="006516FB"/>
    <w:rsid w:val="008F56C2"/>
    <w:rsid w:val="0106240F"/>
    <w:rsid w:val="022C0655"/>
    <w:rsid w:val="03BB1B41"/>
    <w:rsid w:val="047C17CD"/>
    <w:rsid w:val="047D5E81"/>
    <w:rsid w:val="07921036"/>
    <w:rsid w:val="0874698D"/>
    <w:rsid w:val="08A41020"/>
    <w:rsid w:val="09B554AF"/>
    <w:rsid w:val="0A4F762B"/>
    <w:rsid w:val="0A803704"/>
    <w:rsid w:val="0A843777"/>
    <w:rsid w:val="0AEE2A27"/>
    <w:rsid w:val="0CCF4640"/>
    <w:rsid w:val="0F2E1A50"/>
    <w:rsid w:val="0F870CC0"/>
    <w:rsid w:val="11301E91"/>
    <w:rsid w:val="12665599"/>
    <w:rsid w:val="12C16C73"/>
    <w:rsid w:val="160C6457"/>
    <w:rsid w:val="16BA7E07"/>
    <w:rsid w:val="1BFF4D5F"/>
    <w:rsid w:val="1EAF2075"/>
    <w:rsid w:val="1F04279E"/>
    <w:rsid w:val="1F890EA0"/>
    <w:rsid w:val="235C0A1E"/>
    <w:rsid w:val="27392E24"/>
    <w:rsid w:val="27B4482F"/>
    <w:rsid w:val="27BA5D13"/>
    <w:rsid w:val="28E3573D"/>
    <w:rsid w:val="2A0F121A"/>
    <w:rsid w:val="2E385BE3"/>
    <w:rsid w:val="2FC13A08"/>
    <w:rsid w:val="31AB4B36"/>
    <w:rsid w:val="34056568"/>
    <w:rsid w:val="340C15FB"/>
    <w:rsid w:val="34C74165"/>
    <w:rsid w:val="35DF3F0D"/>
    <w:rsid w:val="37CC1A73"/>
    <w:rsid w:val="396C52DB"/>
    <w:rsid w:val="39CC19DF"/>
    <w:rsid w:val="3E8F19A9"/>
    <w:rsid w:val="3F3C384C"/>
    <w:rsid w:val="3F975DAE"/>
    <w:rsid w:val="41887090"/>
    <w:rsid w:val="41C66782"/>
    <w:rsid w:val="42A258CA"/>
    <w:rsid w:val="42D932C0"/>
    <w:rsid w:val="44CE73DC"/>
    <w:rsid w:val="47AD0F98"/>
    <w:rsid w:val="48187993"/>
    <w:rsid w:val="489C689F"/>
    <w:rsid w:val="4B367CCC"/>
    <w:rsid w:val="4B8B16E5"/>
    <w:rsid w:val="4D6C3FC3"/>
    <w:rsid w:val="50025BF9"/>
    <w:rsid w:val="50DB5EBC"/>
    <w:rsid w:val="50EC48E0"/>
    <w:rsid w:val="5212481A"/>
    <w:rsid w:val="5277467D"/>
    <w:rsid w:val="53BA0991"/>
    <w:rsid w:val="5546444E"/>
    <w:rsid w:val="55517407"/>
    <w:rsid w:val="56FE43BA"/>
    <w:rsid w:val="58354DBE"/>
    <w:rsid w:val="598A2EE8"/>
    <w:rsid w:val="5AA24261"/>
    <w:rsid w:val="5B4A4595"/>
    <w:rsid w:val="5BF136F2"/>
    <w:rsid w:val="5DC50992"/>
    <w:rsid w:val="5DD118E9"/>
    <w:rsid w:val="5FF92B75"/>
    <w:rsid w:val="60566219"/>
    <w:rsid w:val="62575B57"/>
    <w:rsid w:val="63F12CFB"/>
    <w:rsid w:val="65BF45A7"/>
    <w:rsid w:val="683B4862"/>
    <w:rsid w:val="68F74B20"/>
    <w:rsid w:val="699F29DF"/>
    <w:rsid w:val="69B55D5F"/>
    <w:rsid w:val="6CF43042"/>
    <w:rsid w:val="72FA28D8"/>
    <w:rsid w:val="74A71BD5"/>
    <w:rsid w:val="74A940CA"/>
    <w:rsid w:val="74FC6D16"/>
    <w:rsid w:val="753C37D8"/>
    <w:rsid w:val="75B62790"/>
    <w:rsid w:val="789456D9"/>
    <w:rsid w:val="791E6EA9"/>
    <w:rsid w:val="793A0C03"/>
    <w:rsid w:val="7B42766E"/>
    <w:rsid w:val="7E3E4D2F"/>
    <w:rsid w:val="7F28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spacing w:before="100" w:beforeAutospacing="1" w:after="100" w:afterAutospacing="1"/>
      <w:outlineLvl w:val="1"/>
    </w:pPr>
    <w:rPr>
      <w:rFonts w:ascii="宋体" w:hAnsi="宋体"/>
      <w:b/>
      <w:bCs/>
      <w:kern w:val="0"/>
      <w:sz w:val="36"/>
      <w:szCs w:val="36"/>
    </w:rPr>
  </w:style>
  <w:style w:type="paragraph" w:styleId="7">
    <w:name w:val="heading 3"/>
    <w:basedOn w:val="1"/>
    <w:next w:val="1"/>
    <w:qFormat/>
    <w:uiPriority w:val="0"/>
    <w:pPr>
      <w:keepNext/>
      <w:keepLines/>
      <w:spacing w:before="260" w:after="260" w:line="415" w:lineRule="auto"/>
      <w:outlineLvl w:val="2"/>
    </w:pPr>
    <w:rPr>
      <w:b/>
      <w:bCs/>
      <w:sz w:val="32"/>
      <w:szCs w:val="32"/>
    </w:rPr>
  </w:style>
  <w:style w:type="paragraph" w:styleId="8">
    <w:name w:val="heading 4"/>
    <w:basedOn w:val="1"/>
    <w:next w:val="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napToGrid w:val="0"/>
      <w:ind w:firstLine="420"/>
      <w:textAlignment w:val="baseline"/>
    </w:pPr>
    <w:rPr>
      <w:rFonts w:ascii="宋体"/>
      <w:snapToGrid w:val="0"/>
      <w:kern w:val="24"/>
      <w:sz w:val="24"/>
      <w:szCs w:val="20"/>
    </w:rPr>
  </w:style>
  <w:style w:type="paragraph" w:styleId="3">
    <w:name w:val="Body Text"/>
    <w:basedOn w:val="1"/>
    <w:next w:val="4"/>
    <w:semiHidden/>
    <w:unhideWhenUsed/>
    <w:qFormat/>
    <w:uiPriority w:val="99"/>
    <w:pPr>
      <w:spacing w:after="120"/>
    </w:pPr>
  </w:style>
  <w:style w:type="paragraph" w:customStyle="1" w:styleId="4">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9">
    <w:name w:val="Body Text Indent"/>
    <w:basedOn w:val="1"/>
    <w:qFormat/>
    <w:uiPriority w:val="0"/>
    <w:pPr>
      <w:spacing w:line="400" w:lineRule="exact"/>
      <w:ind w:firstLine="435"/>
    </w:pPr>
  </w:style>
  <w:style w:type="paragraph" w:styleId="10">
    <w:name w:val="footer"/>
    <w:basedOn w:val="1"/>
    <w:qFormat/>
    <w:uiPriority w:val="99"/>
    <w:pPr>
      <w:snapToGrid w:val="0"/>
      <w:ind w:right="210" w:rightChars="100"/>
      <w:jc w:val="right"/>
    </w:pPr>
    <w:rPr>
      <w:rFonts w:asciiTheme="minorHAnsi" w:hAnsiTheme="minorHAnsi" w:eastAsiaTheme="minorEastAsia" w:cstheme="minorBidi"/>
      <w:sz w:val="18"/>
      <w:szCs w:val="18"/>
    </w:rPr>
  </w:style>
  <w:style w:type="paragraph" w:styleId="11">
    <w:name w:val="header"/>
    <w:basedOn w:val="1"/>
    <w:qFormat/>
    <w:uiPriority w:val="99"/>
    <w:pPr>
      <w:snapToGrid w:val="0"/>
    </w:pPr>
    <w:rPr>
      <w:rFonts w:asciiTheme="minorHAnsi" w:hAnsiTheme="minorHAnsi" w:eastAsiaTheme="minorEastAsia" w:cstheme="minorBidi"/>
      <w:sz w:val="18"/>
      <w:szCs w:val="18"/>
    </w:rPr>
  </w:style>
  <w:style w:type="paragraph" w:styleId="12">
    <w:name w:val="toc 1"/>
    <w:basedOn w:val="1"/>
    <w:next w:val="1"/>
    <w:semiHidden/>
    <w:qFormat/>
    <w:uiPriority w:val="0"/>
    <w:pPr>
      <w:tabs>
        <w:tab w:val="right" w:leader="dot" w:pos="9242"/>
      </w:tabs>
      <w:spacing w:beforeLines="25" w:afterLines="25"/>
    </w:pPr>
    <w:rPr>
      <w:rFonts w:ascii="宋体"/>
      <w:szCs w:val="21"/>
    </w:rPr>
  </w:style>
  <w:style w:type="paragraph" w:styleId="13">
    <w:name w:val="footnote text"/>
    <w:basedOn w:val="1"/>
    <w:qFormat/>
    <w:uiPriority w:val="0"/>
    <w:pPr>
      <w:tabs>
        <w:tab w:val="left" w:pos="0"/>
      </w:tabs>
      <w:snapToGrid w:val="0"/>
      <w:ind w:left="720" w:hanging="357"/>
    </w:pPr>
    <w:rPr>
      <w:rFonts w:ascii="宋体" w:hAnsiTheme="minorHAnsi" w:eastAsiaTheme="minorEastAsia" w:cstheme="minorBidi"/>
      <w:sz w:val="18"/>
      <w:szCs w:val="18"/>
    </w:rPr>
  </w:style>
  <w:style w:type="paragraph" w:styleId="14">
    <w:name w:val="Normal (Web)"/>
    <w:basedOn w:val="1"/>
    <w:unhideWhenUsed/>
    <w:qFormat/>
    <w:uiPriority w:val="99"/>
    <w:pPr>
      <w:spacing w:before="100" w:beforeAutospacing="1" w:after="100" w:afterAutospacing="1"/>
    </w:pPr>
    <w:rPr>
      <w:rFonts w:ascii="宋体" w:hAnsi="宋体" w:cs="宋体"/>
      <w:kern w:val="0"/>
      <w:sz w:val="24"/>
    </w:rPr>
  </w:style>
  <w:style w:type="paragraph" w:styleId="15">
    <w:name w:val="Body Text First Indent 2"/>
    <w:basedOn w:val="9"/>
    <w:qFormat/>
    <w:uiPriority w:val="0"/>
    <w:pPr>
      <w:spacing w:after="120" w:line="240" w:lineRule="auto"/>
      <w:ind w:left="420" w:firstLine="210"/>
    </w:pPr>
    <w:rPr>
      <w:szCs w:val="20"/>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22"/>
    <w:rPr>
      <w:b/>
      <w:bCs/>
    </w:rPr>
  </w:style>
  <w:style w:type="character" w:styleId="20">
    <w:name w:val="footnote reference"/>
    <w:qFormat/>
    <w:uiPriority w:val="0"/>
    <w:rPr>
      <w:vertAlign w:val="superscript"/>
    </w:rPr>
  </w:style>
  <w:style w:type="paragraph" w:customStyle="1" w:styleId="21">
    <w:name w:val="_Style 2"/>
    <w:basedOn w:val="5"/>
    <w:next w:val="1"/>
    <w:qFormat/>
    <w:uiPriority w:val="0"/>
    <w:pPr>
      <w:spacing w:before="480" w:after="0" w:line="276" w:lineRule="auto"/>
      <w:outlineLvl w:val="9"/>
    </w:pPr>
    <w:rPr>
      <w:rFonts w:ascii="Cambria" w:hAnsi="Cambria"/>
      <w:color w:val="365F91"/>
      <w:kern w:val="0"/>
      <w:sz w:val="28"/>
      <w:szCs w:val="28"/>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styleId="23">
    <w:name w:val="List Paragraph"/>
    <w:basedOn w:val="1"/>
    <w:qFormat/>
    <w:uiPriority w:val="34"/>
    <w:pPr>
      <w:ind w:firstLine="420" w:firstLineChars="200"/>
    </w:pPr>
    <w:rPr>
      <w:rFonts w:ascii="宋体" w:hAnsi="宋体" w:cs="宋体"/>
      <w:kern w:val="0"/>
      <w:sz w:val="24"/>
    </w:rPr>
  </w:style>
  <w:style w:type="paragraph" w:customStyle="1" w:styleId="24">
    <w:name w:val="一级条标题"/>
    <w:next w:val="25"/>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25">
    <w:name w:val="段"/>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27">
    <w:name w:val="font11"/>
    <w:basedOn w:val="18"/>
    <w:qFormat/>
    <w:uiPriority w:val="0"/>
    <w:rPr>
      <w:rFonts w:hint="eastAsia" w:ascii="宋体" w:hAnsi="宋体" w:eastAsia="宋体" w:cs="宋体"/>
      <w:color w:val="000000"/>
      <w:sz w:val="21"/>
      <w:szCs w:val="21"/>
      <w:u w:val="none"/>
    </w:rPr>
  </w:style>
  <w:style w:type="character" w:customStyle="1" w:styleId="28">
    <w:name w:val="font31"/>
    <w:basedOn w:val="1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20112</Words>
  <Characters>22254</Characters>
  <Lines>205</Lines>
  <Paragraphs>57</Paragraphs>
  <TotalTime>1</TotalTime>
  <ScaleCrop>false</ScaleCrop>
  <LinksUpToDate>false</LinksUpToDate>
  <CharactersWithSpaces>24034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2022-04-19T02:12:00Z</dcterms:created>
  <dc:creator>Administrator</dc:creator>
  <cp:lastModifiedBy>LILY</cp:lastModifiedBy>
  <dcterms:modified xsi:type="dcterms:W3CDTF">2022-05-27T02:19:18Z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67268EDB37A64E8B81610665407DF9CB</vt:lpwstr>
  </property>
</Properties>
</file>