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00" w:lineRule="exact"/>
        <w:jc w:val="center"/>
        <w:rPr>
          <w:rFonts w:hint="eastAsia" w:ascii="黑体" w:hAnsi="黑体" w:eastAsia="黑体"/>
          <w:b/>
          <w:bCs/>
          <w:sz w:val="52"/>
          <w:szCs w:val="52"/>
          <w:highlight w:val="none"/>
          <w:u w:val="none"/>
          <w:lang w:val="en-US" w:eastAsia="zh-CN"/>
        </w:rPr>
      </w:pPr>
    </w:p>
    <w:p>
      <w:pPr>
        <w:snapToGrid w:val="0"/>
        <w:spacing w:line="900" w:lineRule="exact"/>
        <w:jc w:val="center"/>
        <w:rPr>
          <w:rFonts w:hint="eastAsia" w:ascii="黑体" w:hAnsi="黑体" w:eastAsia="黑体"/>
          <w:b/>
          <w:bCs/>
          <w:sz w:val="52"/>
          <w:szCs w:val="52"/>
          <w:highlight w:val="none"/>
          <w:u w:val="none"/>
          <w:lang w:val="en-US" w:eastAsia="zh-CN"/>
        </w:rPr>
      </w:pPr>
      <w:r>
        <w:rPr>
          <w:rFonts w:hint="eastAsia" w:ascii="黑体" w:hAnsi="黑体" w:eastAsia="黑体"/>
          <w:b/>
          <w:bCs/>
          <w:sz w:val="52"/>
          <w:szCs w:val="52"/>
          <w:highlight w:val="none"/>
          <w:u w:val="none"/>
          <w:lang w:val="en-US" w:eastAsia="zh-CN"/>
        </w:rPr>
        <w:t>城陵矶港办公大楼外墙真石漆施工询价采购文件</w:t>
      </w:r>
    </w:p>
    <w:p>
      <w:pPr>
        <w:pStyle w:val="17"/>
        <w:rPr>
          <w:rFonts w:hint="default" w:ascii="宋体" w:hAnsi="Times New Roman" w:eastAsia="宋体"/>
          <w:b w:val="0"/>
          <w:bCs w:val="0"/>
          <w:sz w:val="24"/>
          <w:szCs w:val="20"/>
          <w:u w:val="none"/>
          <w:lang w:val="en-US" w:eastAsia="zh-CN"/>
        </w:rPr>
      </w:pPr>
    </w:p>
    <w:p>
      <w:pPr>
        <w:jc w:val="center"/>
        <w:rPr>
          <w:rFonts w:ascii="宋体" w:hAnsi="宋体" w:cs="宋体"/>
          <w:b/>
          <w:color w:val="000000"/>
          <w:kern w:val="0"/>
          <w:sz w:val="28"/>
          <w:szCs w:val="28"/>
          <w:highlight w:val="none"/>
        </w:rPr>
      </w:pPr>
    </w:p>
    <w:p>
      <w:pPr>
        <w:keepNext w:val="0"/>
        <w:keepLines w:val="0"/>
        <w:widowControl/>
        <w:suppressLineNumbers w:val="0"/>
        <w:jc w:val="center"/>
        <w:rPr>
          <w:rFonts w:hint="eastAsia" w:ascii="黑体" w:hAnsi="黑体" w:eastAsia="黑体" w:cs="黑体"/>
          <w:b/>
          <w:bCs/>
          <w:sz w:val="30"/>
          <w:szCs w:val="30"/>
          <w:highlight w:val="none"/>
          <w:lang w:val="en-US" w:eastAsia="zh-CN"/>
        </w:rPr>
      </w:pPr>
      <w:r>
        <w:rPr>
          <w:rFonts w:hint="eastAsia" w:ascii="黑体" w:hAnsi="黑体" w:eastAsia="黑体" w:cs="黑体"/>
          <w:b/>
          <w:bCs/>
          <w:sz w:val="30"/>
          <w:szCs w:val="30"/>
          <w:highlight w:val="none"/>
          <w:lang w:val="en-US" w:eastAsia="zh-CN"/>
        </w:rPr>
        <w:t>采购编号：港产工（2022）年第5号</w:t>
      </w:r>
    </w:p>
    <w:p>
      <w:pPr>
        <w:snapToGrid w:val="0"/>
        <w:spacing w:line="480" w:lineRule="auto"/>
        <w:jc w:val="center"/>
        <w:rPr>
          <w:rFonts w:hint="default" w:ascii="黑体" w:hAnsi="黑体" w:eastAsia="黑体" w:cs="黑体"/>
          <w:b/>
          <w:bCs/>
          <w:sz w:val="30"/>
          <w:szCs w:val="30"/>
          <w:highlight w:val="none"/>
          <w:lang w:val="en-US" w:eastAsia="zh-CN"/>
        </w:rPr>
      </w:pPr>
    </w:p>
    <w:p>
      <w:pPr>
        <w:spacing w:line="600" w:lineRule="exact"/>
        <w:rPr>
          <w:highlight w:val="none"/>
        </w:rPr>
      </w:pPr>
    </w:p>
    <w:p>
      <w:pPr>
        <w:spacing w:line="600" w:lineRule="exact"/>
        <w:rPr>
          <w:highlight w:val="none"/>
        </w:rPr>
      </w:pPr>
    </w:p>
    <w:p>
      <w:pPr>
        <w:spacing w:line="600" w:lineRule="exact"/>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ind w:left="0" w:firstLine="0"/>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spacing w:line="600" w:lineRule="exact"/>
        <w:rPr>
          <w:highlight w:val="none"/>
        </w:rPr>
      </w:pPr>
    </w:p>
    <w:p>
      <w:pPr>
        <w:tabs>
          <w:tab w:val="left" w:pos="0"/>
          <w:tab w:val="left" w:pos="4185"/>
        </w:tabs>
        <w:spacing w:line="288" w:lineRule="auto"/>
        <w:ind w:right="-6"/>
        <w:jc w:val="center"/>
        <w:outlineLvl w:val="0"/>
        <w:rPr>
          <w:rFonts w:ascii="黑体" w:hAnsi="黑体" w:eastAsia="黑体"/>
          <w:bCs/>
          <w:sz w:val="48"/>
          <w:szCs w:val="48"/>
          <w:highlight w:val="none"/>
        </w:rPr>
      </w:pPr>
      <w:bookmarkStart w:id="0" w:name="_Toc2287"/>
      <w:bookmarkStart w:id="1" w:name="_Toc32029"/>
      <w:bookmarkStart w:id="2" w:name="_Toc29273"/>
      <w:r>
        <w:rPr>
          <w:rFonts w:hint="eastAsia" w:ascii="黑体" w:hAnsi="黑体" w:eastAsia="黑体"/>
          <w:bCs/>
          <w:sz w:val="48"/>
          <w:szCs w:val="48"/>
          <w:highlight w:val="none"/>
        </w:rPr>
        <w:t>湖南港产科技有限公司</w:t>
      </w:r>
      <w:bookmarkEnd w:id="0"/>
      <w:bookmarkEnd w:id="1"/>
      <w:bookmarkEnd w:id="2"/>
    </w:p>
    <w:p>
      <w:pPr>
        <w:tabs>
          <w:tab w:val="left" w:pos="0"/>
          <w:tab w:val="left" w:pos="4185"/>
        </w:tabs>
        <w:spacing w:line="288" w:lineRule="auto"/>
        <w:ind w:right="-6"/>
        <w:jc w:val="center"/>
        <w:rPr>
          <w:rFonts w:ascii="黑体" w:hAnsi="黑体" w:eastAsia="黑体"/>
          <w:bCs/>
          <w:sz w:val="48"/>
          <w:szCs w:val="48"/>
          <w:highlight w:val="none"/>
        </w:rPr>
      </w:pPr>
      <w:r>
        <w:rPr>
          <w:rFonts w:hint="eastAsia" w:ascii="黑体" w:hAnsi="黑体" w:eastAsia="黑体"/>
          <w:bCs/>
          <w:sz w:val="48"/>
          <w:szCs w:val="48"/>
          <w:highlight w:val="none"/>
        </w:rPr>
        <w:t>二О二二</w:t>
      </w:r>
      <w:r>
        <w:rPr>
          <w:rFonts w:hint="eastAsia" w:ascii="黑体" w:hAnsi="黑体" w:eastAsia="黑体"/>
          <w:bCs/>
          <w:sz w:val="48"/>
          <w:szCs w:val="48"/>
          <w:highlight w:val="none"/>
          <w:lang w:val="en-US" w:eastAsia="zh-CN"/>
        </w:rPr>
        <w:t>年十一</w:t>
      </w:r>
      <w:r>
        <w:rPr>
          <w:rFonts w:hint="eastAsia" w:ascii="黑体" w:hAnsi="黑体" w:eastAsia="黑体"/>
          <w:bCs/>
          <w:sz w:val="48"/>
          <w:szCs w:val="48"/>
          <w:highlight w:val="none"/>
        </w:rPr>
        <w:t>月</w:t>
      </w:r>
    </w:p>
    <w:p>
      <w:pPr>
        <w:pStyle w:val="25"/>
        <w:keepNext w:val="0"/>
        <w:keepLines w:val="0"/>
        <w:widowControl w:val="0"/>
        <w:spacing w:before="0" w:line="600" w:lineRule="exact"/>
        <w:ind w:left="440"/>
        <w:jc w:val="center"/>
        <w:rPr>
          <w:rFonts w:ascii="黑体" w:hAnsi="黑体" w:eastAsia="黑体"/>
          <w:b w:val="0"/>
          <w:color w:val="auto"/>
          <w:sz w:val="44"/>
          <w:szCs w:val="44"/>
          <w:lang w:val="zh-CN"/>
        </w:rPr>
        <w:sectPr>
          <w:headerReference r:id="rId5" w:type="default"/>
          <w:footerReference r:id="rId6" w:type="default"/>
          <w:pgSz w:w="11900" w:h="16840"/>
          <w:pgMar w:top="1440" w:right="1800" w:bottom="1440" w:left="1800" w:header="720" w:footer="720" w:gutter="0"/>
          <w:cols w:space="720" w:num="1"/>
          <w:docGrid w:linePitch="286" w:charSpace="0"/>
        </w:sectPr>
      </w:pPr>
    </w:p>
    <w:p>
      <w:pPr>
        <w:pStyle w:val="25"/>
        <w:keepNext w:val="0"/>
        <w:keepLines w:val="0"/>
        <w:widowControl w:val="0"/>
        <w:spacing w:before="0" w:line="600" w:lineRule="exact"/>
        <w:ind w:left="440"/>
        <w:jc w:val="center"/>
        <w:outlineLvl w:val="0"/>
        <w:rPr>
          <w:rFonts w:ascii="黑体" w:hAnsi="黑体" w:eastAsia="黑体"/>
          <w:b w:val="0"/>
          <w:color w:val="auto"/>
          <w:sz w:val="32"/>
          <w:szCs w:val="32"/>
          <w:lang w:val="zh-CN"/>
        </w:rPr>
      </w:pPr>
      <w:bookmarkStart w:id="3" w:name="_Toc1640"/>
      <w:bookmarkStart w:id="4" w:name="_Toc1325"/>
      <w:bookmarkStart w:id="5" w:name="_Toc7574"/>
      <w:r>
        <w:rPr>
          <w:rFonts w:ascii="黑体" w:hAnsi="黑体" w:eastAsia="黑体"/>
          <w:b w:val="0"/>
          <w:color w:val="auto"/>
          <w:sz w:val="32"/>
          <w:szCs w:val="32"/>
          <w:lang w:val="zh-CN"/>
        </w:rPr>
        <w:t>目    录</w:t>
      </w:r>
      <w:bookmarkEnd w:id="3"/>
      <w:bookmarkEnd w:id="4"/>
      <w:bookmarkEnd w:id="5"/>
    </w:p>
    <w:p>
      <w:pPr>
        <w:rPr>
          <w:rFonts w:ascii="黑体" w:hAnsi="黑体" w:eastAsia="黑体"/>
          <w:b w:val="0"/>
          <w:color w:val="auto"/>
          <w:sz w:val="36"/>
          <w:szCs w:val="36"/>
          <w:lang w:val="zh-CN"/>
        </w:rPr>
      </w:pPr>
    </w:p>
    <w:sdt>
      <w:sdtPr>
        <w:rPr>
          <w:rFonts w:hint="eastAsia" w:ascii="宋体" w:hAnsi="宋体" w:eastAsia="宋体" w:cs="宋体"/>
          <w:kern w:val="2"/>
          <w:sz w:val="28"/>
          <w:szCs w:val="28"/>
          <w:lang w:val="en-US" w:eastAsia="zh-CN" w:bidi="ar-SA"/>
        </w:rPr>
        <w:id w:val="147468922"/>
        <w15:color w:val="DBDBDB"/>
        <w:docPartObj>
          <w:docPartGallery w:val="Table of Contents"/>
          <w:docPartUnique/>
        </w:docPartObj>
      </w:sdtPr>
      <w:sdtEndPr>
        <w:rPr>
          <w:rFonts w:hint="eastAsia" w:ascii="黑体" w:hAnsi="黑体" w:eastAsia="黑体" w:cs="Times New Roman"/>
          <w:snapToGrid w:val="0"/>
          <w:color w:val="auto"/>
          <w:kern w:val="24"/>
          <w:sz w:val="24"/>
          <w:szCs w:val="44"/>
          <w:lang w:val="zh-CN" w:eastAsia="zh-CN" w:bidi="ar-SA"/>
        </w:rPr>
      </w:sdtEndPr>
      <w:sdtContent>
        <w:p>
          <w:pPr>
            <w:pStyle w:val="26"/>
            <w:tabs>
              <w:tab w:val="right" w:leader="dot" w:pos="8300"/>
            </w:tabs>
            <w:spacing w:line="480" w:lineRule="auto"/>
            <w:rPr>
              <w:rFonts w:hint="eastAsia" w:ascii="宋体" w:hAnsi="宋体" w:eastAsia="宋体" w:cs="宋体"/>
              <w:sz w:val="28"/>
              <w:szCs w:val="28"/>
            </w:rPr>
          </w:pPr>
          <w:r>
            <w:rPr>
              <w:rFonts w:hint="eastAsia" w:ascii="宋体" w:hAnsi="宋体" w:eastAsia="宋体" w:cs="宋体"/>
              <w:b w:val="0"/>
              <w:color w:val="auto"/>
              <w:sz w:val="28"/>
              <w:szCs w:val="28"/>
              <w:lang w:val="zh-CN"/>
            </w:rPr>
            <w:fldChar w:fldCharType="begin"/>
          </w:r>
          <w:r>
            <w:rPr>
              <w:rFonts w:hint="eastAsia" w:ascii="宋体" w:hAnsi="宋体" w:eastAsia="宋体" w:cs="宋体"/>
              <w:b w:val="0"/>
              <w:color w:val="auto"/>
              <w:sz w:val="28"/>
              <w:szCs w:val="28"/>
              <w:lang w:val="zh-CN"/>
            </w:rPr>
            <w:instrText xml:space="preserve">TOC \o "1-3" \h \u </w:instrText>
          </w:r>
          <w:r>
            <w:rPr>
              <w:rFonts w:hint="eastAsia" w:ascii="宋体" w:hAnsi="宋体" w:eastAsia="宋体" w:cs="宋体"/>
              <w:b w:val="0"/>
              <w:color w:val="auto"/>
              <w:sz w:val="28"/>
              <w:szCs w:val="28"/>
              <w:lang w:val="zh-CN"/>
            </w:rPr>
            <w:fldChar w:fldCharType="separate"/>
          </w:r>
          <w:r>
            <w:rPr>
              <w:rFonts w:hint="eastAsia" w:ascii="宋体" w:hAnsi="宋体" w:eastAsia="宋体" w:cs="宋体"/>
              <w:color w:val="auto"/>
              <w:sz w:val="28"/>
              <w:szCs w:val="28"/>
              <w:lang w:val="zh-CN"/>
            </w:rPr>
            <w:fldChar w:fldCharType="begin"/>
          </w:r>
          <w:r>
            <w:rPr>
              <w:rFonts w:hint="eastAsia" w:ascii="宋体" w:hAnsi="宋体" w:eastAsia="宋体" w:cs="宋体"/>
              <w:sz w:val="28"/>
              <w:szCs w:val="28"/>
              <w:lang w:val="zh-CN"/>
            </w:rPr>
            <w:instrText xml:space="preserve"> HYPERLINK \l _Toc17173 </w:instrText>
          </w:r>
          <w:r>
            <w:rPr>
              <w:rFonts w:hint="eastAsia" w:ascii="宋体" w:hAnsi="宋体" w:eastAsia="宋体" w:cs="宋体"/>
              <w:sz w:val="28"/>
              <w:szCs w:val="28"/>
              <w:lang w:val="zh-CN"/>
            </w:rPr>
            <w:fldChar w:fldCharType="separate"/>
          </w:r>
          <w:r>
            <w:rPr>
              <w:rFonts w:hint="eastAsia" w:ascii="宋体" w:hAnsi="宋体" w:eastAsia="宋体" w:cs="宋体"/>
              <w:sz w:val="28"/>
              <w:szCs w:val="28"/>
            </w:rPr>
            <w:t xml:space="preserve">第一章 </w:t>
          </w:r>
          <w:r>
            <w:rPr>
              <w:rFonts w:hint="eastAsia" w:ascii="宋体" w:hAnsi="宋体" w:eastAsia="宋体" w:cs="宋体"/>
              <w:sz w:val="28"/>
              <w:szCs w:val="28"/>
              <w:highlight w:val="none"/>
            </w:rPr>
            <w:t>采购公告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_Toc17173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color w:val="auto"/>
              <w:sz w:val="28"/>
              <w:szCs w:val="28"/>
              <w:lang w:val="zh-CN"/>
            </w:rPr>
            <w:fldChar w:fldCharType="end"/>
          </w:r>
        </w:p>
        <w:p>
          <w:pPr>
            <w:pStyle w:val="26"/>
            <w:tabs>
              <w:tab w:val="right" w:leader="dot" w:pos="8300"/>
            </w:tabs>
            <w:spacing w:line="480" w:lineRule="auto"/>
            <w:rPr>
              <w:rFonts w:hint="eastAsia" w:ascii="宋体" w:hAnsi="宋体" w:eastAsia="宋体" w:cs="宋体"/>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sz w:val="28"/>
              <w:szCs w:val="28"/>
              <w:lang w:val="zh-CN"/>
            </w:rPr>
            <w:instrText xml:space="preserve"> HYPERLINK \l _Toc23032 </w:instrText>
          </w:r>
          <w:r>
            <w:rPr>
              <w:rFonts w:hint="eastAsia" w:ascii="宋体" w:hAnsi="宋体" w:eastAsia="宋体" w:cs="宋体"/>
              <w:sz w:val="28"/>
              <w:szCs w:val="28"/>
              <w:lang w:val="zh-CN"/>
            </w:rPr>
            <w:fldChar w:fldCharType="separate"/>
          </w:r>
          <w:r>
            <w:rPr>
              <w:rFonts w:hint="eastAsia" w:ascii="宋体" w:hAnsi="宋体" w:eastAsia="宋体" w:cs="宋体"/>
              <w:sz w:val="28"/>
              <w:szCs w:val="28"/>
              <w:highlight w:val="none"/>
            </w:rPr>
            <w:t>第二章 供应商须知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_Toc23032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color w:val="auto"/>
              <w:sz w:val="28"/>
              <w:szCs w:val="28"/>
              <w:lang w:val="zh-CN"/>
            </w:rPr>
            <w:fldChar w:fldCharType="end"/>
          </w:r>
        </w:p>
        <w:p>
          <w:pPr>
            <w:pStyle w:val="26"/>
            <w:tabs>
              <w:tab w:val="right" w:leader="dot" w:pos="8300"/>
            </w:tabs>
            <w:spacing w:line="480" w:lineRule="auto"/>
            <w:rPr>
              <w:rFonts w:hint="eastAsia" w:ascii="宋体" w:hAnsi="宋体" w:eastAsia="宋体" w:cs="宋体"/>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sz w:val="28"/>
              <w:szCs w:val="28"/>
              <w:lang w:val="zh-CN"/>
            </w:rPr>
            <w:instrText xml:space="preserve"> HYPERLINK \l _Toc7444 </w:instrText>
          </w:r>
          <w:r>
            <w:rPr>
              <w:rFonts w:hint="eastAsia" w:ascii="宋体" w:hAnsi="宋体" w:eastAsia="宋体" w:cs="宋体"/>
              <w:sz w:val="28"/>
              <w:szCs w:val="28"/>
              <w:lang w:val="zh-CN"/>
            </w:rPr>
            <w:fldChar w:fldCharType="separate"/>
          </w:r>
          <w:r>
            <w:rPr>
              <w:rFonts w:hint="eastAsia" w:ascii="宋体" w:hAnsi="宋体" w:eastAsia="宋体" w:cs="宋体"/>
              <w:bCs/>
              <w:sz w:val="28"/>
              <w:szCs w:val="28"/>
              <w:highlight w:val="none"/>
            </w:rPr>
            <w:t>第三章 评审办法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_Toc7444 \h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color w:val="auto"/>
              <w:sz w:val="28"/>
              <w:szCs w:val="28"/>
              <w:lang w:val="zh-CN"/>
            </w:rPr>
            <w:fldChar w:fldCharType="end"/>
          </w:r>
        </w:p>
        <w:p>
          <w:pPr>
            <w:pStyle w:val="26"/>
            <w:tabs>
              <w:tab w:val="right" w:leader="dot" w:pos="8300"/>
            </w:tabs>
            <w:spacing w:line="480" w:lineRule="auto"/>
            <w:rPr>
              <w:rFonts w:hint="eastAsia" w:ascii="宋体" w:hAnsi="宋体" w:eastAsia="宋体" w:cs="宋体"/>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sz w:val="28"/>
              <w:szCs w:val="28"/>
              <w:lang w:val="zh-CN"/>
            </w:rPr>
            <w:instrText xml:space="preserve"> HYPERLINK \l _Toc25540 </w:instrText>
          </w:r>
          <w:r>
            <w:rPr>
              <w:rFonts w:hint="eastAsia" w:ascii="宋体" w:hAnsi="宋体" w:eastAsia="宋体" w:cs="宋体"/>
              <w:sz w:val="28"/>
              <w:szCs w:val="28"/>
              <w:lang w:val="zh-CN"/>
            </w:rPr>
            <w:fldChar w:fldCharType="separate"/>
          </w:r>
          <w:r>
            <w:rPr>
              <w:rFonts w:hint="eastAsia" w:ascii="宋体" w:hAnsi="宋体" w:eastAsia="宋体" w:cs="宋体"/>
              <w:sz w:val="28"/>
              <w:szCs w:val="28"/>
              <w:highlight w:val="none"/>
            </w:rPr>
            <w:t>第四章 合同条款及格式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_Toc25540 \h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color w:val="auto"/>
              <w:sz w:val="28"/>
              <w:szCs w:val="28"/>
              <w:lang w:val="zh-CN"/>
            </w:rPr>
            <w:fldChar w:fldCharType="end"/>
          </w:r>
        </w:p>
        <w:p>
          <w:pPr>
            <w:pStyle w:val="26"/>
            <w:tabs>
              <w:tab w:val="right" w:leader="dot" w:pos="8300"/>
            </w:tabs>
            <w:spacing w:line="480" w:lineRule="auto"/>
            <w:rPr>
              <w:rFonts w:hint="eastAsia" w:ascii="宋体" w:hAnsi="宋体" w:eastAsia="宋体" w:cs="宋体"/>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sz w:val="28"/>
              <w:szCs w:val="28"/>
              <w:lang w:val="zh-CN"/>
            </w:rPr>
            <w:instrText xml:space="preserve"> HYPERLINK \l _Toc21688 </w:instrText>
          </w:r>
          <w:r>
            <w:rPr>
              <w:rFonts w:hint="eastAsia" w:ascii="宋体" w:hAnsi="宋体" w:eastAsia="宋体" w:cs="宋体"/>
              <w:sz w:val="28"/>
              <w:szCs w:val="28"/>
              <w:lang w:val="zh-CN"/>
            </w:rPr>
            <w:fldChar w:fldCharType="separate"/>
          </w:r>
          <w:r>
            <w:rPr>
              <w:rFonts w:hint="eastAsia" w:ascii="宋体" w:hAnsi="宋体" w:eastAsia="宋体" w:cs="宋体"/>
              <w:sz w:val="28"/>
              <w:szCs w:val="28"/>
              <w:highlight w:val="none"/>
              <w:lang w:val="en-US" w:eastAsia="zh-CN"/>
            </w:rPr>
            <w:t>第五章</w:t>
          </w:r>
          <w:r>
            <w:rPr>
              <w:rFonts w:hint="eastAsia" w:ascii="宋体" w:hAnsi="宋体" w:eastAsia="宋体" w:cs="宋体"/>
              <w:sz w:val="28"/>
              <w:szCs w:val="28"/>
              <w:highlight w:val="none"/>
            </w:rPr>
            <w:t xml:space="preserve"> 采购需求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_Toc21688 \h </w:instrText>
          </w:r>
          <w:r>
            <w:rPr>
              <w:rFonts w:hint="eastAsia" w:ascii="宋体" w:hAnsi="宋体" w:eastAsia="宋体" w:cs="宋体"/>
              <w:sz w:val="28"/>
              <w:szCs w:val="28"/>
            </w:rPr>
            <w:fldChar w:fldCharType="separate"/>
          </w:r>
          <w:r>
            <w:rPr>
              <w:rFonts w:hint="eastAsia" w:ascii="宋体" w:hAnsi="宋体" w:eastAsia="宋体" w:cs="宋体"/>
              <w:sz w:val="28"/>
              <w:szCs w:val="28"/>
            </w:rPr>
            <w:t>44</w:t>
          </w:r>
          <w:r>
            <w:rPr>
              <w:rFonts w:hint="eastAsia" w:ascii="宋体" w:hAnsi="宋体" w:eastAsia="宋体" w:cs="宋体"/>
              <w:sz w:val="28"/>
              <w:szCs w:val="28"/>
            </w:rPr>
            <w:fldChar w:fldCharType="end"/>
          </w:r>
          <w:r>
            <w:rPr>
              <w:rFonts w:hint="eastAsia" w:ascii="宋体" w:hAnsi="宋体" w:eastAsia="宋体" w:cs="宋体"/>
              <w:color w:val="auto"/>
              <w:sz w:val="28"/>
              <w:szCs w:val="28"/>
              <w:lang w:val="zh-CN"/>
            </w:rPr>
            <w:fldChar w:fldCharType="end"/>
          </w:r>
        </w:p>
        <w:p>
          <w:pPr>
            <w:pStyle w:val="26"/>
            <w:tabs>
              <w:tab w:val="right" w:leader="dot" w:pos="8300"/>
            </w:tabs>
            <w:spacing w:line="480" w:lineRule="auto"/>
            <w:rPr>
              <w:rFonts w:hint="eastAsia" w:ascii="宋体" w:hAnsi="宋体" w:eastAsia="宋体" w:cs="宋体"/>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sz w:val="28"/>
              <w:szCs w:val="28"/>
              <w:lang w:val="zh-CN"/>
            </w:rPr>
            <w:instrText xml:space="preserve"> HYPERLINK \l _Toc15693 </w:instrText>
          </w:r>
          <w:r>
            <w:rPr>
              <w:rFonts w:hint="eastAsia" w:ascii="宋体" w:hAnsi="宋体" w:eastAsia="宋体" w:cs="宋体"/>
              <w:sz w:val="28"/>
              <w:szCs w:val="28"/>
              <w:lang w:val="zh-CN"/>
            </w:rPr>
            <w:fldChar w:fldCharType="separate"/>
          </w:r>
          <w:r>
            <w:rPr>
              <w:rFonts w:hint="eastAsia" w:ascii="宋体" w:hAnsi="宋体" w:eastAsia="宋体" w:cs="宋体"/>
              <w:sz w:val="28"/>
              <w:szCs w:val="28"/>
              <w:highlight w:val="none"/>
            </w:rPr>
            <w:t>第六章  响应文件格式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_Toc15693 \h </w:instrText>
          </w:r>
          <w:r>
            <w:rPr>
              <w:rFonts w:hint="eastAsia" w:ascii="宋体" w:hAnsi="宋体" w:eastAsia="宋体" w:cs="宋体"/>
              <w:sz w:val="28"/>
              <w:szCs w:val="28"/>
            </w:rPr>
            <w:fldChar w:fldCharType="separate"/>
          </w:r>
          <w:r>
            <w:rPr>
              <w:rFonts w:hint="eastAsia"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color w:val="auto"/>
              <w:sz w:val="28"/>
              <w:szCs w:val="28"/>
              <w:lang w:val="zh-CN"/>
            </w:rPr>
            <w:fldChar w:fldCharType="end"/>
          </w:r>
        </w:p>
        <w:p>
          <w:pPr>
            <w:pStyle w:val="33"/>
            <w:tabs>
              <w:tab w:val="right" w:leader="dot" w:pos="8300"/>
            </w:tabs>
            <w:spacing w:line="480" w:lineRule="auto"/>
            <w:ind w:left="0" w:leftChars="0" w:firstLine="840" w:firstLineChars="300"/>
            <w:rPr>
              <w:rFonts w:hint="eastAsia" w:ascii="宋体" w:hAnsi="宋体" w:eastAsia="宋体" w:cs="宋体"/>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sz w:val="28"/>
              <w:szCs w:val="28"/>
              <w:lang w:val="zh-CN"/>
            </w:rPr>
            <w:instrText xml:space="preserve"> HYPERLINK \l _Toc26727 </w:instrText>
          </w:r>
          <w:r>
            <w:rPr>
              <w:rFonts w:hint="eastAsia" w:ascii="宋体" w:hAnsi="宋体" w:eastAsia="宋体" w:cs="宋体"/>
              <w:sz w:val="28"/>
              <w:szCs w:val="28"/>
              <w:lang w:val="zh-CN"/>
            </w:rPr>
            <w:fldChar w:fldCharType="separate"/>
          </w:r>
          <w:r>
            <w:rPr>
              <w:rFonts w:hint="eastAsia" w:ascii="宋体" w:hAnsi="宋体" w:eastAsia="宋体" w:cs="宋体"/>
              <w:sz w:val="28"/>
              <w:szCs w:val="28"/>
              <w:highlight w:val="none"/>
              <w:lang w:val="en-US" w:eastAsia="zh-CN"/>
            </w:rPr>
            <w:t>一、响应函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_Toc26727 \h </w:instrText>
          </w:r>
          <w:r>
            <w:rPr>
              <w:rFonts w:hint="eastAsia" w:ascii="宋体" w:hAnsi="宋体" w:eastAsia="宋体" w:cs="宋体"/>
              <w:sz w:val="28"/>
              <w:szCs w:val="28"/>
            </w:rPr>
            <w:fldChar w:fldCharType="separate"/>
          </w:r>
          <w:r>
            <w:rPr>
              <w:rFonts w:hint="eastAsia" w:ascii="宋体" w:hAnsi="宋体" w:eastAsia="宋体" w:cs="宋体"/>
              <w:sz w:val="28"/>
              <w:szCs w:val="28"/>
            </w:rPr>
            <w:t>48</w:t>
          </w:r>
          <w:r>
            <w:rPr>
              <w:rFonts w:hint="eastAsia" w:ascii="宋体" w:hAnsi="宋体" w:eastAsia="宋体" w:cs="宋体"/>
              <w:sz w:val="28"/>
              <w:szCs w:val="28"/>
            </w:rPr>
            <w:fldChar w:fldCharType="end"/>
          </w:r>
          <w:r>
            <w:rPr>
              <w:rFonts w:hint="eastAsia" w:ascii="宋体" w:hAnsi="宋体" w:eastAsia="宋体" w:cs="宋体"/>
              <w:color w:val="auto"/>
              <w:sz w:val="28"/>
              <w:szCs w:val="28"/>
              <w:lang w:val="zh-CN"/>
            </w:rPr>
            <w:fldChar w:fldCharType="end"/>
          </w:r>
        </w:p>
        <w:p>
          <w:pPr>
            <w:pStyle w:val="34"/>
            <w:tabs>
              <w:tab w:val="right" w:leader="dot" w:pos="8300"/>
            </w:tabs>
            <w:spacing w:line="480" w:lineRule="auto"/>
            <w:rPr>
              <w:rFonts w:hint="eastAsia" w:ascii="宋体" w:hAnsi="宋体" w:eastAsia="宋体" w:cs="宋体"/>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sz w:val="28"/>
              <w:szCs w:val="28"/>
              <w:lang w:val="zh-CN"/>
            </w:rPr>
            <w:instrText xml:space="preserve"> HYPERLINK \l _Toc1877 </w:instrText>
          </w:r>
          <w:r>
            <w:rPr>
              <w:rFonts w:hint="eastAsia" w:ascii="宋体" w:hAnsi="宋体" w:eastAsia="宋体" w:cs="宋体"/>
              <w:sz w:val="28"/>
              <w:szCs w:val="28"/>
              <w:lang w:val="zh-CN"/>
            </w:rPr>
            <w:fldChar w:fldCharType="separate"/>
          </w:r>
          <w:r>
            <w:rPr>
              <w:rFonts w:hint="eastAsia" w:ascii="宋体" w:hAnsi="宋体" w:eastAsia="宋体" w:cs="宋体"/>
              <w:sz w:val="28"/>
              <w:szCs w:val="28"/>
              <w:highlight w:val="none"/>
            </w:rPr>
            <w:t>二、授权委托书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_Toc1877 \h </w:instrText>
          </w:r>
          <w:r>
            <w:rPr>
              <w:rFonts w:hint="eastAsia" w:ascii="宋体" w:hAnsi="宋体" w:eastAsia="宋体" w:cs="宋体"/>
              <w:sz w:val="28"/>
              <w:szCs w:val="28"/>
            </w:rPr>
            <w:fldChar w:fldCharType="separate"/>
          </w:r>
          <w:r>
            <w:rPr>
              <w:rFonts w:hint="eastAsia" w:ascii="宋体" w:hAnsi="宋体" w:eastAsia="宋体" w:cs="宋体"/>
              <w:sz w:val="28"/>
              <w:szCs w:val="28"/>
            </w:rPr>
            <w:t>51</w:t>
          </w:r>
          <w:r>
            <w:rPr>
              <w:rFonts w:hint="eastAsia" w:ascii="宋体" w:hAnsi="宋体" w:eastAsia="宋体" w:cs="宋体"/>
              <w:sz w:val="28"/>
              <w:szCs w:val="28"/>
            </w:rPr>
            <w:fldChar w:fldCharType="end"/>
          </w:r>
          <w:r>
            <w:rPr>
              <w:rFonts w:hint="eastAsia" w:ascii="宋体" w:hAnsi="宋体" w:eastAsia="宋体" w:cs="宋体"/>
              <w:color w:val="auto"/>
              <w:sz w:val="28"/>
              <w:szCs w:val="28"/>
              <w:lang w:val="zh-CN"/>
            </w:rPr>
            <w:fldChar w:fldCharType="end"/>
          </w:r>
        </w:p>
        <w:p>
          <w:pPr>
            <w:pStyle w:val="34"/>
            <w:tabs>
              <w:tab w:val="right" w:leader="dot" w:pos="8300"/>
            </w:tabs>
            <w:spacing w:line="480" w:lineRule="auto"/>
            <w:rPr>
              <w:rFonts w:hint="eastAsia" w:ascii="宋体" w:hAnsi="宋体" w:eastAsia="宋体" w:cs="宋体"/>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sz w:val="28"/>
              <w:szCs w:val="28"/>
              <w:lang w:val="zh-CN"/>
            </w:rPr>
            <w:instrText xml:space="preserve"> HYPERLINK \l _Toc30391 </w:instrText>
          </w:r>
          <w:r>
            <w:rPr>
              <w:rFonts w:hint="eastAsia" w:ascii="宋体" w:hAnsi="宋体" w:eastAsia="宋体" w:cs="宋体"/>
              <w:sz w:val="28"/>
              <w:szCs w:val="28"/>
              <w:lang w:val="zh-CN"/>
            </w:rPr>
            <w:fldChar w:fldCharType="separate"/>
          </w:r>
          <w:r>
            <w:rPr>
              <w:rFonts w:hint="eastAsia" w:ascii="宋体" w:hAnsi="宋体" w:eastAsia="宋体" w:cs="宋体"/>
              <w:sz w:val="28"/>
              <w:szCs w:val="28"/>
              <w:highlight w:val="none"/>
            </w:rPr>
            <w:t>三、商务和技术偏差表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_Toc30391 \h </w:instrText>
          </w:r>
          <w:r>
            <w:rPr>
              <w:rFonts w:hint="eastAsia" w:ascii="宋体" w:hAnsi="宋体" w:eastAsia="宋体" w:cs="宋体"/>
              <w:sz w:val="28"/>
              <w:szCs w:val="28"/>
            </w:rPr>
            <w:fldChar w:fldCharType="separate"/>
          </w:r>
          <w:r>
            <w:rPr>
              <w:rFonts w:hint="eastAsia" w:ascii="宋体" w:hAnsi="宋体" w:eastAsia="宋体" w:cs="宋体"/>
              <w:sz w:val="28"/>
              <w:szCs w:val="28"/>
            </w:rPr>
            <w:t>52</w:t>
          </w:r>
          <w:r>
            <w:rPr>
              <w:rFonts w:hint="eastAsia" w:ascii="宋体" w:hAnsi="宋体" w:eastAsia="宋体" w:cs="宋体"/>
              <w:sz w:val="28"/>
              <w:szCs w:val="28"/>
            </w:rPr>
            <w:fldChar w:fldCharType="end"/>
          </w:r>
          <w:r>
            <w:rPr>
              <w:rFonts w:hint="eastAsia" w:ascii="宋体" w:hAnsi="宋体" w:eastAsia="宋体" w:cs="宋体"/>
              <w:color w:val="auto"/>
              <w:sz w:val="28"/>
              <w:szCs w:val="28"/>
              <w:lang w:val="zh-CN"/>
            </w:rPr>
            <w:fldChar w:fldCharType="end"/>
          </w:r>
        </w:p>
        <w:p>
          <w:pPr>
            <w:pStyle w:val="34"/>
            <w:tabs>
              <w:tab w:val="right" w:leader="dot" w:pos="8300"/>
            </w:tabs>
            <w:spacing w:line="480" w:lineRule="auto"/>
            <w:rPr>
              <w:rFonts w:hint="eastAsia" w:ascii="宋体" w:hAnsi="宋体" w:eastAsia="宋体" w:cs="宋体"/>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sz w:val="28"/>
              <w:szCs w:val="28"/>
              <w:lang w:val="zh-CN"/>
            </w:rPr>
            <w:instrText xml:space="preserve"> HYPERLINK \l _Toc2350 </w:instrText>
          </w:r>
          <w:r>
            <w:rPr>
              <w:rFonts w:hint="eastAsia" w:ascii="宋体" w:hAnsi="宋体" w:eastAsia="宋体" w:cs="宋体"/>
              <w:sz w:val="28"/>
              <w:szCs w:val="28"/>
              <w:lang w:val="zh-CN"/>
            </w:rPr>
            <w:fldChar w:fldCharType="separate"/>
          </w:r>
          <w:r>
            <w:rPr>
              <w:rFonts w:hint="eastAsia" w:ascii="宋体" w:hAnsi="宋体" w:eastAsia="宋体" w:cs="宋体"/>
              <w:sz w:val="28"/>
              <w:szCs w:val="28"/>
              <w:highlight w:val="none"/>
            </w:rPr>
            <w:t>四、报价表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_Toc2350 \h </w:instrText>
          </w:r>
          <w:r>
            <w:rPr>
              <w:rFonts w:hint="eastAsia" w:ascii="宋体" w:hAnsi="宋体" w:eastAsia="宋体" w:cs="宋体"/>
              <w:sz w:val="28"/>
              <w:szCs w:val="28"/>
            </w:rPr>
            <w:fldChar w:fldCharType="separate"/>
          </w:r>
          <w:r>
            <w:rPr>
              <w:rFonts w:hint="eastAsia" w:ascii="宋体" w:hAnsi="宋体" w:eastAsia="宋体" w:cs="宋体"/>
              <w:sz w:val="28"/>
              <w:szCs w:val="28"/>
            </w:rPr>
            <w:t>53</w:t>
          </w:r>
          <w:r>
            <w:rPr>
              <w:rFonts w:hint="eastAsia" w:ascii="宋体" w:hAnsi="宋体" w:eastAsia="宋体" w:cs="宋体"/>
              <w:sz w:val="28"/>
              <w:szCs w:val="28"/>
            </w:rPr>
            <w:fldChar w:fldCharType="end"/>
          </w:r>
          <w:r>
            <w:rPr>
              <w:rFonts w:hint="eastAsia" w:ascii="宋体" w:hAnsi="宋体" w:eastAsia="宋体" w:cs="宋体"/>
              <w:color w:val="auto"/>
              <w:sz w:val="28"/>
              <w:szCs w:val="28"/>
              <w:lang w:val="zh-CN"/>
            </w:rPr>
            <w:fldChar w:fldCharType="end"/>
          </w:r>
        </w:p>
        <w:p>
          <w:pPr>
            <w:pStyle w:val="34"/>
            <w:tabs>
              <w:tab w:val="right" w:leader="dot" w:pos="8300"/>
            </w:tabs>
            <w:spacing w:line="480" w:lineRule="auto"/>
            <w:rPr>
              <w:rFonts w:hint="eastAsia" w:ascii="宋体" w:hAnsi="宋体" w:eastAsia="宋体" w:cs="宋体"/>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sz w:val="28"/>
              <w:szCs w:val="28"/>
              <w:lang w:val="zh-CN"/>
            </w:rPr>
            <w:instrText xml:space="preserve"> HYPERLINK \l _Toc2150 </w:instrText>
          </w:r>
          <w:r>
            <w:rPr>
              <w:rFonts w:hint="eastAsia" w:ascii="宋体" w:hAnsi="宋体" w:eastAsia="宋体" w:cs="宋体"/>
              <w:sz w:val="28"/>
              <w:szCs w:val="28"/>
              <w:lang w:val="zh-CN"/>
            </w:rPr>
            <w:fldChar w:fldCharType="separate"/>
          </w:r>
          <w:r>
            <w:rPr>
              <w:rFonts w:hint="eastAsia" w:ascii="宋体" w:hAnsi="宋体" w:eastAsia="宋体" w:cs="宋体"/>
              <w:sz w:val="28"/>
              <w:szCs w:val="28"/>
              <w:highlight w:val="none"/>
            </w:rPr>
            <w:t>五、资格审查资料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_Toc2150 \h </w:instrText>
          </w:r>
          <w:r>
            <w:rPr>
              <w:rFonts w:hint="eastAsia" w:ascii="宋体" w:hAnsi="宋体" w:eastAsia="宋体" w:cs="宋体"/>
              <w:sz w:val="28"/>
              <w:szCs w:val="28"/>
            </w:rPr>
            <w:fldChar w:fldCharType="separate"/>
          </w:r>
          <w:r>
            <w:rPr>
              <w:rFonts w:hint="eastAsia" w:ascii="宋体" w:hAnsi="宋体" w:eastAsia="宋体" w:cs="宋体"/>
              <w:sz w:val="28"/>
              <w:szCs w:val="28"/>
            </w:rPr>
            <w:t>54</w:t>
          </w:r>
          <w:r>
            <w:rPr>
              <w:rFonts w:hint="eastAsia" w:ascii="宋体" w:hAnsi="宋体" w:eastAsia="宋体" w:cs="宋体"/>
              <w:sz w:val="28"/>
              <w:szCs w:val="28"/>
            </w:rPr>
            <w:fldChar w:fldCharType="end"/>
          </w:r>
          <w:r>
            <w:rPr>
              <w:rFonts w:hint="eastAsia" w:ascii="宋体" w:hAnsi="宋体" w:eastAsia="宋体" w:cs="宋体"/>
              <w:color w:val="auto"/>
              <w:sz w:val="28"/>
              <w:szCs w:val="28"/>
              <w:lang w:val="zh-CN"/>
            </w:rPr>
            <w:fldChar w:fldCharType="end"/>
          </w:r>
        </w:p>
        <w:p>
          <w:pPr>
            <w:pStyle w:val="34"/>
            <w:tabs>
              <w:tab w:val="right" w:leader="dot" w:pos="8300"/>
            </w:tabs>
            <w:spacing w:line="480" w:lineRule="auto"/>
            <w:rPr>
              <w:rFonts w:hint="eastAsia" w:ascii="宋体" w:hAnsi="宋体" w:eastAsia="宋体" w:cs="宋体"/>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sz w:val="28"/>
              <w:szCs w:val="28"/>
              <w:lang w:val="zh-CN"/>
            </w:rPr>
            <w:instrText xml:space="preserve"> HYPERLINK \l _Toc16758 </w:instrText>
          </w:r>
          <w:r>
            <w:rPr>
              <w:rFonts w:hint="eastAsia" w:ascii="宋体" w:hAnsi="宋体" w:eastAsia="宋体" w:cs="宋体"/>
              <w:sz w:val="28"/>
              <w:szCs w:val="28"/>
              <w:lang w:val="zh-CN"/>
            </w:rPr>
            <w:fldChar w:fldCharType="separate"/>
          </w:r>
          <w:r>
            <w:rPr>
              <w:rFonts w:hint="eastAsia" w:ascii="宋体" w:hAnsi="宋体" w:eastAsia="宋体" w:cs="宋体"/>
              <w:sz w:val="28"/>
              <w:szCs w:val="28"/>
              <w:highlight w:val="none"/>
            </w:rPr>
            <w:t>六、响应方案</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_Toc16758 \h </w:instrText>
          </w:r>
          <w:r>
            <w:rPr>
              <w:rFonts w:hint="eastAsia" w:ascii="宋体" w:hAnsi="宋体" w:eastAsia="宋体" w:cs="宋体"/>
              <w:sz w:val="28"/>
              <w:szCs w:val="28"/>
            </w:rPr>
            <w:fldChar w:fldCharType="separate"/>
          </w:r>
          <w:r>
            <w:rPr>
              <w:rFonts w:hint="eastAsia" w:ascii="宋体" w:hAnsi="宋体" w:eastAsia="宋体" w:cs="宋体"/>
              <w:sz w:val="28"/>
              <w:szCs w:val="28"/>
            </w:rPr>
            <w:t>57</w:t>
          </w:r>
          <w:r>
            <w:rPr>
              <w:rFonts w:hint="eastAsia" w:ascii="宋体" w:hAnsi="宋体" w:eastAsia="宋体" w:cs="宋体"/>
              <w:sz w:val="28"/>
              <w:szCs w:val="28"/>
            </w:rPr>
            <w:fldChar w:fldCharType="end"/>
          </w:r>
          <w:r>
            <w:rPr>
              <w:rFonts w:hint="eastAsia" w:ascii="宋体" w:hAnsi="宋体" w:eastAsia="宋体" w:cs="宋体"/>
              <w:color w:val="auto"/>
              <w:sz w:val="28"/>
              <w:szCs w:val="28"/>
              <w:lang w:val="zh-CN"/>
            </w:rPr>
            <w:fldChar w:fldCharType="end"/>
          </w:r>
        </w:p>
        <w:p>
          <w:pPr>
            <w:pStyle w:val="34"/>
            <w:tabs>
              <w:tab w:val="right" w:leader="dot" w:pos="8300"/>
            </w:tabs>
            <w:spacing w:line="480" w:lineRule="auto"/>
            <w:rPr>
              <w:rFonts w:hint="eastAsia" w:ascii="宋体" w:hAnsi="宋体" w:eastAsia="宋体" w:cs="宋体"/>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sz w:val="28"/>
              <w:szCs w:val="28"/>
              <w:lang w:val="zh-CN"/>
            </w:rPr>
            <w:instrText xml:space="preserve"> HYPERLINK \l _Toc6073 </w:instrText>
          </w:r>
          <w:r>
            <w:rPr>
              <w:rFonts w:hint="eastAsia" w:ascii="宋体" w:hAnsi="宋体" w:eastAsia="宋体" w:cs="宋体"/>
              <w:sz w:val="28"/>
              <w:szCs w:val="28"/>
              <w:lang w:val="zh-CN"/>
            </w:rPr>
            <w:fldChar w:fldCharType="separate"/>
          </w:r>
          <w:r>
            <w:rPr>
              <w:rFonts w:hint="eastAsia" w:ascii="宋体" w:hAnsi="宋体" w:eastAsia="宋体" w:cs="宋体"/>
              <w:sz w:val="28"/>
              <w:szCs w:val="28"/>
              <w:highlight w:val="none"/>
            </w:rPr>
            <w:t>七、其他资料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_Toc6073 \h </w:instrText>
          </w:r>
          <w:r>
            <w:rPr>
              <w:rFonts w:hint="eastAsia" w:ascii="宋体" w:hAnsi="宋体" w:eastAsia="宋体" w:cs="宋体"/>
              <w:sz w:val="28"/>
              <w:szCs w:val="28"/>
            </w:rPr>
            <w:fldChar w:fldCharType="separate"/>
          </w:r>
          <w:r>
            <w:rPr>
              <w:rFonts w:hint="eastAsia" w:ascii="宋体" w:hAnsi="宋体" w:eastAsia="宋体" w:cs="宋体"/>
              <w:sz w:val="28"/>
              <w:szCs w:val="28"/>
            </w:rPr>
            <w:t>58</w:t>
          </w:r>
          <w:r>
            <w:rPr>
              <w:rFonts w:hint="eastAsia" w:ascii="宋体" w:hAnsi="宋体" w:eastAsia="宋体" w:cs="宋体"/>
              <w:sz w:val="28"/>
              <w:szCs w:val="28"/>
            </w:rPr>
            <w:fldChar w:fldCharType="end"/>
          </w:r>
          <w:r>
            <w:rPr>
              <w:rFonts w:hint="eastAsia" w:ascii="宋体" w:hAnsi="宋体" w:eastAsia="宋体" w:cs="宋体"/>
              <w:color w:val="auto"/>
              <w:sz w:val="28"/>
              <w:szCs w:val="28"/>
              <w:lang w:val="zh-CN"/>
            </w:rPr>
            <w:fldChar w:fldCharType="end"/>
          </w:r>
        </w:p>
        <w:p>
          <w:pPr>
            <w:pStyle w:val="17"/>
            <w:spacing w:line="480" w:lineRule="auto"/>
            <w:rPr>
              <w:rFonts w:hint="eastAsia" w:ascii="宋体" w:hAnsi="宋体" w:eastAsia="宋体" w:cs="宋体"/>
              <w:color w:val="auto"/>
              <w:sz w:val="32"/>
              <w:szCs w:val="32"/>
              <w:lang w:val="zh-CN"/>
            </w:rPr>
          </w:pPr>
          <w:r>
            <w:rPr>
              <w:rFonts w:hint="eastAsia" w:ascii="宋体" w:hAnsi="宋体" w:eastAsia="宋体" w:cs="宋体"/>
              <w:color w:val="auto"/>
              <w:sz w:val="28"/>
              <w:szCs w:val="28"/>
              <w:lang w:val="zh-CN"/>
            </w:rPr>
            <w:fldChar w:fldCharType="end"/>
          </w:r>
        </w:p>
        <w:p>
          <w:pPr>
            <w:rPr>
              <w:rFonts w:ascii="黑体" w:hAnsi="黑体" w:eastAsia="黑体"/>
              <w:b w:val="0"/>
              <w:color w:val="auto"/>
              <w:sz w:val="44"/>
              <w:szCs w:val="44"/>
              <w:lang w:val="zh-CN"/>
            </w:rPr>
          </w:pPr>
          <w:r>
            <w:rPr>
              <w:rFonts w:hint="eastAsia" w:ascii="宋体" w:hAnsi="宋体" w:eastAsia="宋体" w:cs="宋体"/>
              <w:color w:val="auto"/>
              <w:sz w:val="32"/>
              <w:szCs w:val="32"/>
              <w:lang w:val="zh-CN"/>
            </w:rPr>
            <w:br w:type="page"/>
          </w:r>
        </w:p>
      </w:sdtContent>
    </w:sdt>
    <w:p>
      <w:pPr>
        <w:pStyle w:val="27"/>
        <w:numPr>
          <w:ilvl w:val="0"/>
          <w:numId w:val="1"/>
        </w:numPr>
        <w:spacing w:line="600" w:lineRule="exact"/>
        <w:ind w:firstLineChars="0"/>
        <w:jc w:val="center"/>
        <w:outlineLvl w:val="0"/>
        <w:rPr>
          <w:rFonts w:ascii="黑体" w:hAnsi="黑体" w:eastAsia="黑体" w:cs="仿宋"/>
          <w:b/>
          <w:color w:val="000000"/>
          <w:sz w:val="44"/>
          <w:szCs w:val="44"/>
          <w:highlight w:val="none"/>
        </w:rPr>
      </w:pPr>
      <w:bookmarkStart w:id="6" w:name="_Toc20031"/>
      <w:bookmarkStart w:id="7" w:name="_Toc17173"/>
      <w:bookmarkStart w:id="8" w:name="_Toc28813"/>
      <w:r>
        <w:rPr>
          <w:rFonts w:hint="eastAsia" w:ascii="黑体" w:hAnsi="黑体" w:eastAsia="黑体" w:cs="仿宋"/>
          <w:b/>
          <w:color w:val="000000"/>
          <w:sz w:val="44"/>
          <w:szCs w:val="44"/>
          <w:highlight w:val="none"/>
        </w:rPr>
        <w:t>采购公告</w:t>
      </w:r>
      <w:bookmarkEnd w:id="6"/>
      <w:bookmarkEnd w:id="7"/>
      <w:bookmarkEnd w:id="8"/>
    </w:p>
    <w:p>
      <w:pPr>
        <w:widowControl/>
        <w:autoSpaceDE w:val="0"/>
        <w:adjustRightInd/>
        <w:snapToGrid/>
        <w:spacing w:line="600" w:lineRule="exact"/>
        <w:jc w:val="center"/>
        <w:rPr>
          <w:rFonts w:hint="eastAsia" w:ascii="宋体" w:hAnsi="宋体"/>
          <w:b/>
          <w:bCs/>
          <w:sz w:val="32"/>
          <w:szCs w:val="32"/>
          <w:highlight w:val="none"/>
          <w:u w:val="single"/>
        </w:rPr>
      </w:pPr>
      <w:r>
        <w:rPr>
          <w:rFonts w:hint="eastAsia" w:ascii="宋体" w:hAnsi="宋体"/>
          <w:b/>
          <w:bCs/>
          <w:sz w:val="32"/>
          <w:szCs w:val="32"/>
          <w:highlight w:val="none"/>
          <w:u w:val="none"/>
          <w:lang w:val="en-US" w:eastAsia="zh-CN"/>
        </w:rPr>
        <w:t>城陵矶港办公大楼外墙真石漆施工询价</w:t>
      </w:r>
      <w:r>
        <w:rPr>
          <w:rFonts w:hint="eastAsia" w:ascii="宋体" w:hAnsi="宋体" w:eastAsia="宋体"/>
          <w:b/>
          <w:bCs/>
          <w:sz w:val="32"/>
          <w:szCs w:val="32"/>
          <w:highlight w:val="none"/>
          <w:u w:val="none"/>
        </w:rPr>
        <w:t>公告</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城陵矶港</w:t>
      </w:r>
      <w:r>
        <w:rPr>
          <w:rFonts w:hint="eastAsia" w:ascii="宋体" w:hAnsi="宋体" w:cs="宋体"/>
          <w:bCs/>
          <w:color w:val="000000"/>
          <w:sz w:val="24"/>
          <w:szCs w:val="24"/>
          <w:highlight w:val="none"/>
          <w:lang w:val="en-US" w:eastAsia="zh-CN"/>
        </w:rPr>
        <w:t>办公</w:t>
      </w:r>
      <w:r>
        <w:rPr>
          <w:rFonts w:hint="eastAsia" w:ascii="宋体" w:hAnsi="宋体" w:eastAsia="宋体" w:cs="宋体"/>
          <w:bCs/>
          <w:color w:val="000000"/>
          <w:sz w:val="24"/>
          <w:szCs w:val="24"/>
          <w:highlight w:val="none"/>
          <w:lang w:val="en-US" w:eastAsia="zh-CN"/>
        </w:rPr>
        <w:t>大楼</w:t>
      </w:r>
      <w:r>
        <w:rPr>
          <w:rFonts w:hint="eastAsia" w:ascii="宋体" w:hAnsi="宋体" w:cs="宋体"/>
          <w:bCs/>
          <w:color w:val="000000"/>
          <w:sz w:val="24"/>
          <w:szCs w:val="24"/>
          <w:highlight w:val="none"/>
          <w:lang w:val="en-US" w:eastAsia="zh-CN"/>
        </w:rPr>
        <w:t>外墙真石漆施工</w:t>
      </w:r>
      <w:r>
        <w:rPr>
          <w:rFonts w:hint="eastAsia" w:ascii="宋体" w:hAnsi="宋体" w:eastAsia="宋体" w:cs="宋体"/>
          <w:bCs/>
          <w:color w:val="000000"/>
          <w:sz w:val="24"/>
          <w:szCs w:val="24"/>
          <w:highlight w:val="none"/>
          <w:lang w:val="en-US" w:eastAsia="zh-CN"/>
        </w:rPr>
        <w:t>项目经公司批准，现将</w:t>
      </w:r>
      <w:r>
        <w:rPr>
          <w:rFonts w:hint="eastAsia" w:ascii="宋体" w:hAnsi="宋体" w:cs="宋体"/>
          <w:bCs/>
          <w:color w:val="000000"/>
          <w:sz w:val="24"/>
          <w:szCs w:val="24"/>
          <w:highlight w:val="none"/>
          <w:lang w:val="en-US" w:eastAsia="zh-CN"/>
        </w:rPr>
        <w:t>城陵矶港办公大楼外墙真石漆实施</w:t>
      </w:r>
      <w:r>
        <w:rPr>
          <w:rFonts w:hint="eastAsia" w:ascii="宋体" w:hAnsi="宋体" w:eastAsia="宋体" w:cs="宋体"/>
          <w:bCs/>
          <w:color w:val="000000"/>
          <w:sz w:val="24"/>
          <w:szCs w:val="24"/>
          <w:highlight w:val="none"/>
          <w:lang w:val="en-US" w:eastAsia="zh-CN"/>
        </w:rPr>
        <w:t>施工</w:t>
      </w:r>
      <w:r>
        <w:rPr>
          <w:rFonts w:hint="eastAsia" w:ascii="宋体" w:hAnsi="宋体" w:cs="宋体"/>
          <w:bCs/>
          <w:color w:val="000000"/>
          <w:sz w:val="24"/>
          <w:szCs w:val="24"/>
          <w:highlight w:val="none"/>
          <w:lang w:val="en-US" w:eastAsia="zh-CN"/>
        </w:rPr>
        <w:t>询价招标</w:t>
      </w:r>
      <w:r>
        <w:rPr>
          <w:rFonts w:hint="eastAsia" w:ascii="宋体" w:hAnsi="宋体" w:eastAsia="宋体" w:cs="宋体"/>
          <w:bCs/>
          <w:color w:val="000000"/>
          <w:sz w:val="24"/>
          <w:szCs w:val="24"/>
          <w:highlight w:val="none"/>
          <w:lang w:val="en-US" w:eastAsia="zh-CN"/>
        </w:rPr>
        <w:t xml:space="preserve">，现公开邀请具备实施能力的供应商参加招标活动。 </w:t>
      </w:r>
    </w:p>
    <w:p>
      <w:pPr>
        <w:pStyle w:val="5"/>
        <w:jc w:val="both"/>
        <w:outlineLvl w:val="1"/>
        <w:rPr>
          <w:rFonts w:hint="eastAsia" w:ascii="黑体" w:hAnsi="黑体"/>
          <w:highlight w:val="none"/>
          <w:lang w:val="en-US" w:eastAsia="zh-CN"/>
        </w:rPr>
      </w:pPr>
      <w:bookmarkStart w:id="9" w:name="_Toc9790"/>
      <w:r>
        <w:rPr>
          <w:rFonts w:hint="eastAsia" w:ascii="黑体" w:hAnsi="黑体"/>
          <w:highlight w:val="none"/>
          <w:lang w:val="en-US" w:eastAsia="zh-CN"/>
        </w:rPr>
        <w:t>一、采购项目简介</w:t>
      </w:r>
      <w:bookmarkEnd w:id="9"/>
      <w:r>
        <w:rPr>
          <w:rFonts w:hint="eastAsia" w:ascii="黑体" w:hAnsi="黑体"/>
          <w:highlight w:val="none"/>
          <w:lang w:val="en-US" w:eastAsia="zh-CN"/>
        </w:rPr>
        <w:t xml:space="preserve"> </w:t>
      </w:r>
    </w:p>
    <w:p>
      <w:pPr>
        <w:widowControl/>
        <w:autoSpaceDE w:val="0"/>
        <w:adjustRightInd/>
        <w:snapToGrid/>
        <w:spacing w:line="600" w:lineRule="exact"/>
        <w:ind w:firstLine="480" w:firstLineChars="200"/>
        <w:jc w:val="both"/>
        <w:rPr>
          <w:rFonts w:hint="default"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（一）采购项目名称:城陵矶港</w:t>
      </w:r>
      <w:r>
        <w:rPr>
          <w:rFonts w:hint="eastAsia" w:ascii="宋体" w:hAnsi="宋体" w:cs="宋体"/>
          <w:bCs/>
          <w:color w:val="000000"/>
          <w:sz w:val="24"/>
          <w:szCs w:val="24"/>
          <w:highlight w:val="none"/>
          <w:lang w:val="en-US" w:eastAsia="zh-CN"/>
        </w:rPr>
        <w:t>办公</w:t>
      </w:r>
      <w:r>
        <w:rPr>
          <w:rFonts w:hint="eastAsia" w:ascii="宋体" w:hAnsi="宋体" w:eastAsia="宋体" w:cs="宋体"/>
          <w:bCs/>
          <w:color w:val="000000"/>
          <w:sz w:val="24"/>
          <w:szCs w:val="24"/>
          <w:highlight w:val="none"/>
          <w:lang w:val="en-US" w:eastAsia="zh-CN"/>
        </w:rPr>
        <w:t>大楼</w:t>
      </w:r>
      <w:r>
        <w:rPr>
          <w:rFonts w:hint="eastAsia" w:ascii="宋体" w:hAnsi="宋体" w:cs="宋体"/>
          <w:bCs/>
          <w:color w:val="000000"/>
          <w:sz w:val="24"/>
          <w:szCs w:val="24"/>
          <w:highlight w:val="none"/>
          <w:lang w:val="en-US" w:eastAsia="zh-CN"/>
        </w:rPr>
        <w:t>外墙真石漆</w:t>
      </w:r>
      <w:r>
        <w:rPr>
          <w:rFonts w:hint="eastAsia" w:ascii="宋体" w:hAnsi="宋体" w:eastAsia="宋体" w:cs="宋体"/>
          <w:bCs/>
          <w:color w:val="000000"/>
          <w:sz w:val="24"/>
          <w:szCs w:val="24"/>
          <w:highlight w:val="none"/>
          <w:lang w:val="en-US" w:eastAsia="zh-CN"/>
        </w:rPr>
        <w:t>施</w:t>
      </w:r>
      <w:r>
        <w:rPr>
          <w:rFonts w:hint="eastAsia" w:ascii="宋体" w:hAnsi="宋体" w:cs="宋体"/>
          <w:bCs/>
          <w:color w:val="000000"/>
          <w:sz w:val="24"/>
          <w:szCs w:val="24"/>
          <w:highlight w:val="none"/>
          <w:lang w:val="en-US" w:eastAsia="zh-CN"/>
        </w:rPr>
        <w:t>工</w:t>
      </w:r>
      <w:r>
        <w:rPr>
          <w:rFonts w:hint="eastAsia" w:ascii="宋体" w:hAnsi="宋体" w:eastAsia="宋体" w:cs="宋体"/>
          <w:bCs/>
          <w:color w:val="000000"/>
          <w:sz w:val="24"/>
          <w:szCs w:val="24"/>
          <w:highlight w:val="none"/>
          <w:lang w:val="en-US" w:eastAsia="zh-CN"/>
        </w:rPr>
        <w:t>项目</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（二）采购人: 湖南港产科技有限公司</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（三）采购代理机构:无</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（四）采购项目资金落实情况:自筹资金，已落实</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（五）采购项目概况:</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岳阳城陵矶港</w:t>
      </w:r>
      <w:r>
        <w:rPr>
          <w:rFonts w:hint="eastAsia" w:ascii="宋体" w:hAnsi="宋体" w:cs="宋体"/>
          <w:bCs/>
          <w:color w:val="000000"/>
          <w:sz w:val="24"/>
          <w:szCs w:val="24"/>
          <w:highlight w:val="none"/>
          <w:lang w:val="en-US" w:eastAsia="zh-CN"/>
        </w:rPr>
        <w:t>办公楼</w:t>
      </w:r>
      <w:r>
        <w:rPr>
          <w:rFonts w:hint="eastAsia" w:ascii="宋体" w:hAnsi="宋体" w:eastAsia="宋体" w:cs="宋体"/>
          <w:bCs/>
          <w:color w:val="000000"/>
          <w:sz w:val="24"/>
          <w:szCs w:val="24"/>
          <w:highlight w:val="none"/>
          <w:lang w:val="en-US" w:eastAsia="zh-CN"/>
        </w:rPr>
        <w:t>使用年限长，</w:t>
      </w:r>
      <w:r>
        <w:rPr>
          <w:rFonts w:hint="eastAsia" w:ascii="宋体" w:hAnsi="宋体" w:cs="宋体"/>
          <w:bCs/>
          <w:color w:val="000000"/>
          <w:sz w:val="24"/>
          <w:szCs w:val="24"/>
          <w:highlight w:val="none"/>
          <w:lang w:val="en-US" w:eastAsia="zh-CN"/>
        </w:rPr>
        <w:t>外墙</w:t>
      </w:r>
      <w:r>
        <w:rPr>
          <w:rFonts w:hint="eastAsia" w:ascii="宋体" w:hAnsi="宋体" w:eastAsia="宋体" w:cs="宋体"/>
          <w:bCs/>
          <w:color w:val="000000"/>
          <w:sz w:val="24"/>
          <w:szCs w:val="24"/>
          <w:highlight w:val="none"/>
          <w:lang w:val="en-US" w:eastAsia="zh-CN"/>
        </w:rPr>
        <w:t>防水层出现破损渗水漏水现象严重。部分</w:t>
      </w:r>
      <w:r>
        <w:rPr>
          <w:rFonts w:hint="eastAsia" w:ascii="宋体" w:hAnsi="宋体" w:cs="宋体"/>
          <w:bCs/>
          <w:color w:val="000000"/>
          <w:sz w:val="24"/>
          <w:szCs w:val="24"/>
          <w:highlight w:val="none"/>
          <w:lang w:val="en-US" w:eastAsia="zh-CN"/>
        </w:rPr>
        <w:t>外墙</w:t>
      </w:r>
      <w:r>
        <w:rPr>
          <w:rFonts w:hint="eastAsia" w:ascii="宋体" w:hAnsi="宋体" w:eastAsia="宋体" w:cs="宋体"/>
          <w:bCs/>
          <w:color w:val="000000"/>
          <w:sz w:val="24"/>
          <w:szCs w:val="24"/>
          <w:highlight w:val="none"/>
          <w:lang w:val="en-US" w:eastAsia="zh-CN"/>
        </w:rPr>
        <w:t>渗漏</w:t>
      </w:r>
      <w:r>
        <w:rPr>
          <w:rFonts w:hint="eastAsia" w:ascii="宋体" w:hAnsi="宋体" w:cs="宋体"/>
          <w:bCs/>
          <w:color w:val="000000"/>
          <w:sz w:val="24"/>
          <w:szCs w:val="24"/>
          <w:highlight w:val="none"/>
          <w:lang w:val="en-US" w:eastAsia="zh-CN"/>
        </w:rPr>
        <w:t>破损</w:t>
      </w:r>
      <w:r>
        <w:rPr>
          <w:rFonts w:hint="eastAsia" w:ascii="宋体" w:hAnsi="宋体" w:eastAsia="宋体" w:cs="宋体"/>
          <w:bCs/>
          <w:color w:val="000000"/>
          <w:sz w:val="24"/>
          <w:szCs w:val="24"/>
          <w:highlight w:val="none"/>
          <w:lang w:val="en-US" w:eastAsia="zh-CN"/>
        </w:rPr>
        <w:t>严重需</w:t>
      </w:r>
      <w:r>
        <w:rPr>
          <w:rFonts w:hint="eastAsia" w:ascii="宋体" w:hAnsi="宋体" w:cs="宋体"/>
          <w:bCs/>
          <w:color w:val="000000"/>
          <w:sz w:val="24"/>
          <w:szCs w:val="24"/>
          <w:highlight w:val="none"/>
          <w:lang w:val="en-US" w:eastAsia="zh-CN"/>
        </w:rPr>
        <w:t>进行外墙翻修实施</w:t>
      </w:r>
      <w:r>
        <w:rPr>
          <w:rFonts w:hint="eastAsia" w:ascii="宋体" w:hAnsi="宋体" w:eastAsia="宋体" w:cs="宋体"/>
          <w:bCs/>
          <w:color w:val="000000"/>
          <w:sz w:val="24"/>
          <w:szCs w:val="24"/>
          <w:highlight w:val="none"/>
          <w:lang w:val="en-US" w:eastAsia="zh-CN"/>
        </w:rPr>
        <w:t>。</w:t>
      </w:r>
    </w:p>
    <w:p>
      <w:pPr>
        <w:adjustRightInd w:val="0"/>
        <w:snapToGrid w:val="0"/>
        <w:spacing w:line="540" w:lineRule="exact"/>
        <w:ind w:firstLine="480" w:firstLineChars="200"/>
        <w:rPr>
          <w:rFonts w:hint="default"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 </w:t>
      </w:r>
    </w:p>
    <w:p>
      <w:pPr>
        <w:pStyle w:val="5"/>
        <w:jc w:val="both"/>
        <w:outlineLvl w:val="1"/>
        <w:rPr>
          <w:rFonts w:ascii="黑体" w:hAnsi="黑体"/>
          <w:highlight w:val="none"/>
        </w:rPr>
      </w:pPr>
      <w:bookmarkStart w:id="10" w:name="_Toc15115"/>
      <w:r>
        <w:rPr>
          <w:rFonts w:hint="eastAsia" w:ascii="黑体" w:hAnsi="黑体"/>
          <w:highlight w:val="none"/>
          <w:lang w:val="en-US" w:eastAsia="zh-CN"/>
        </w:rPr>
        <w:t>二、</w:t>
      </w:r>
      <w:r>
        <w:rPr>
          <w:rFonts w:hint="eastAsia" w:ascii="黑体" w:hAnsi="黑体"/>
          <w:highlight w:val="none"/>
        </w:rPr>
        <w:t>采购范围及相关要求</w:t>
      </w:r>
      <w:bookmarkEnd w:id="1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11" w:name="_Toc19063"/>
      <w:r>
        <w:rPr>
          <w:rFonts w:hint="eastAsia" w:ascii="宋体" w:hAnsi="宋体" w:eastAsia="宋体" w:cs="宋体"/>
          <w:bCs/>
          <w:color w:val="000000"/>
          <w:sz w:val="24"/>
          <w:szCs w:val="24"/>
          <w:highlight w:val="none"/>
          <w:lang w:val="en-US" w:eastAsia="zh-CN"/>
        </w:rPr>
        <w:t>（一）采购范围:</w:t>
      </w:r>
      <w:bookmarkEnd w:id="11"/>
    </w:p>
    <w:p>
      <w:pPr>
        <w:adjustRightInd w:val="0"/>
        <w:snapToGrid w:val="0"/>
        <w:spacing w:line="540" w:lineRule="exact"/>
        <w:ind w:firstLine="480" w:firstLineChars="200"/>
        <w:rPr>
          <w:rFonts w:hint="eastAsia" w:ascii="宋体" w:hAnsi="宋体" w:cs="Times New Roman"/>
          <w:sz w:val="24"/>
          <w:lang w:val="en-US" w:eastAsia="zh-CN"/>
        </w:rPr>
      </w:pPr>
      <w:r>
        <w:rPr>
          <w:rFonts w:hint="eastAsia" w:ascii="宋体" w:hAnsi="宋体" w:cs="宋体"/>
          <w:bCs/>
          <w:color w:val="000000"/>
          <w:sz w:val="24"/>
          <w:szCs w:val="24"/>
          <w:highlight w:val="none"/>
          <w:lang w:val="en-US" w:eastAsia="zh-CN"/>
        </w:rPr>
        <w:t>岳阳城陵矶港办公大楼外墙翻新，采用真石漆</w:t>
      </w:r>
      <w:r>
        <w:rPr>
          <w:rFonts w:hint="eastAsia" w:ascii="宋体" w:hAnsi="宋体" w:eastAsia="宋体" w:cs="Times New Roman"/>
          <w:sz w:val="24"/>
          <w:lang w:val="en-US" w:eastAsia="zh-CN"/>
        </w:rPr>
        <w:t>（施工面积约800m²</w:t>
      </w:r>
      <w:r>
        <w:rPr>
          <w:rFonts w:hint="eastAsia" w:ascii="宋体" w:hAnsi="宋体" w:cs="Times New Roman"/>
          <w:sz w:val="24"/>
          <w:lang w:val="en-US" w:eastAsia="zh-CN"/>
        </w:rPr>
        <w:t>，楼层为7层</w:t>
      </w:r>
      <w:r>
        <w:rPr>
          <w:rFonts w:hint="eastAsia" w:ascii="宋体" w:hAnsi="宋体" w:eastAsia="宋体" w:cs="Times New Roman"/>
          <w:sz w:val="24"/>
          <w:lang w:val="en-US" w:eastAsia="zh-CN"/>
        </w:rPr>
        <w:t>）</w:t>
      </w:r>
      <w:r>
        <w:rPr>
          <w:rFonts w:hint="eastAsia" w:ascii="宋体" w:hAnsi="宋体" w:cs="Times New Roman"/>
          <w:sz w:val="24"/>
          <w:lang w:val="en-US" w:eastAsia="zh-CN"/>
        </w:rPr>
        <w:t>外墙翻新施工工艺。</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（二）服务期限:合同签订，进场开工后</w:t>
      </w:r>
      <w:r>
        <w:rPr>
          <w:rFonts w:hint="eastAsia" w:ascii="宋体" w:hAnsi="宋体" w:cs="宋体"/>
          <w:bCs/>
          <w:color w:val="000000"/>
          <w:sz w:val="24"/>
          <w:szCs w:val="24"/>
          <w:highlight w:val="none"/>
          <w:lang w:val="en-US" w:eastAsia="zh-CN"/>
        </w:rPr>
        <w:t>20</w:t>
      </w:r>
      <w:r>
        <w:rPr>
          <w:rFonts w:hint="eastAsia" w:ascii="宋体" w:hAnsi="宋体" w:eastAsia="宋体" w:cs="宋体"/>
          <w:bCs/>
          <w:color w:val="000000"/>
          <w:sz w:val="24"/>
          <w:szCs w:val="24"/>
          <w:highlight w:val="none"/>
          <w:lang w:val="en-US" w:eastAsia="zh-CN"/>
        </w:rPr>
        <w:t>个日历日</w:t>
      </w:r>
      <w:r>
        <w:rPr>
          <w:rFonts w:hint="eastAsia" w:ascii="宋体" w:hAnsi="宋体" w:cs="宋体"/>
          <w:bCs/>
          <w:color w:val="000000"/>
          <w:sz w:val="24"/>
          <w:szCs w:val="24"/>
          <w:highlight w:val="none"/>
          <w:lang w:val="en-US" w:eastAsia="zh-CN"/>
        </w:rPr>
        <w:t>。</w:t>
      </w:r>
    </w:p>
    <w:p>
      <w:pPr>
        <w:adjustRightInd w:val="0"/>
        <w:snapToGrid w:val="0"/>
        <w:spacing w:line="540" w:lineRule="exact"/>
        <w:ind w:firstLine="480" w:firstLineChars="200"/>
        <w:rPr>
          <w:rFonts w:hint="default" w:ascii="宋体" w:hAnsi="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（三）服务地点:</w:t>
      </w:r>
      <w:r>
        <w:rPr>
          <w:rFonts w:hint="eastAsia" w:ascii="宋体" w:hAnsi="宋体" w:cs="宋体"/>
          <w:bCs/>
          <w:color w:val="000000"/>
          <w:sz w:val="24"/>
          <w:szCs w:val="24"/>
          <w:highlight w:val="none"/>
          <w:lang w:val="en-US" w:eastAsia="zh-CN"/>
        </w:rPr>
        <w:t>岳阳城陵矶港办公大楼</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（四）质量要求或服务标准:</w:t>
      </w:r>
    </w:p>
    <w:p>
      <w:pPr>
        <w:adjustRightInd w:val="0"/>
        <w:snapToGrid w:val="0"/>
        <w:spacing w:line="540" w:lineRule="exact"/>
        <w:ind w:firstLine="480" w:firstLineChars="200"/>
        <w:rPr>
          <w:rFonts w:hint="eastAsia"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1、本工程的施工质量验收符合《合成树脂乳液砂壁状建筑涂料》JG/T24-2000、《建筑工程质量检验评定标准》（GBJ301-88）、《合成树脂乳液外墙涂料》JG/T9755-2001、《弹性建筑涂料》JG/T 172—2005、《水性涂料环境标志产品技术要求》HG/T201-2005、《建筑外墙用腻子》JG/T157-2004、《建筑装饰装修工程质量验收规》GB50210-2001《建筑涂饰工程施工及验收规范》JGJ/T29-2003等标准。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2</w:t>
      </w:r>
      <w:r>
        <w:rPr>
          <w:rFonts w:hint="eastAsia" w:ascii="宋体" w:hAnsi="宋体" w:eastAsia="宋体" w:cs="宋体"/>
          <w:bCs/>
          <w:color w:val="000000"/>
          <w:sz w:val="24"/>
          <w:szCs w:val="24"/>
          <w:highlight w:val="none"/>
          <w:lang w:val="en-US" w:eastAsia="zh-CN"/>
        </w:rPr>
        <w:t>、本工程严格按照招标方质量管理体系的要求，进行工程质量控制，并按招标方有关要求填报相关表格，交招标方整理存档。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3</w:t>
      </w:r>
      <w:r>
        <w:rPr>
          <w:rFonts w:hint="eastAsia" w:ascii="宋体" w:hAnsi="宋体" w:eastAsia="宋体" w:cs="宋体"/>
          <w:bCs/>
          <w:color w:val="000000"/>
          <w:sz w:val="24"/>
          <w:szCs w:val="24"/>
          <w:highlight w:val="none"/>
          <w:lang w:val="en-US" w:eastAsia="zh-CN"/>
        </w:rPr>
        <w:t>、所承包的工程结束，满足安全性、可靠性、使用性能的要求（开工前签订安全施工责任合同），符合国家最新相关施工验收规范、检验标准的要求。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4</w:t>
      </w:r>
      <w:r>
        <w:rPr>
          <w:rFonts w:hint="eastAsia" w:ascii="宋体" w:hAnsi="宋体" w:eastAsia="宋体" w:cs="宋体"/>
          <w:bCs/>
          <w:color w:val="000000"/>
          <w:sz w:val="24"/>
          <w:szCs w:val="24"/>
          <w:highlight w:val="none"/>
          <w:lang w:val="en-US" w:eastAsia="zh-CN"/>
        </w:rPr>
        <w:t>、工程质量保修期按从竣工验收合格后</w:t>
      </w:r>
      <w:r>
        <w:rPr>
          <w:rFonts w:hint="eastAsia" w:ascii="宋体" w:hAnsi="宋体" w:cs="宋体"/>
          <w:bCs/>
          <w:color w:val="000000"/>
          <w:sz w:val="24"/>
          <w:szCs w:val="24"/>
          <w:highlight w:val="none"/>
          <w:lang w:val="en-US" w:eastAsia="zh-CN"/>
        </w:rPr>
        <w:t>12</w:t>
      </w:r>
      <w:r>
        <w:rPr>
          <w:rFonts w:hint="eastAsia" w:ascii="宋体" w:hAnsi="宋体" w:eastAsia="宋体" w:cs="宋体"/>
          <w:bCs/>
          <w:color w:val="000000"/>
          <w:sz w:val="24"/>
          <w:szCs w:val="24"/>
          <w:highlight w:val="none"/>
          <w:lang w:val="en-US" w:eastAsia="zh-CN"/>
        </w:rPr>
        <w:t>个月执行。工程质量保修期起始日期自竣工验收报告签署之日起。</w:t>
      </w:r>
    </w:p>
    <w:p>
      <w:pPr>
        <w:pStyle w:val="5"/>
        <w:jc w:val="both"/>
        <w:outlineLvl w:val="1"/>
        <w:rPr>
          <w:rFonts w:ascii="Arial" w:hAnsi="Arial"/>
          <w:highlight w:val="none"/>
        </w:rPr>
      </w:pPr>
      <w:bookmarkStart w:id="12" w:name="_Toc1381"/>
      <w:r>
        <w:rPr>
          <w:rFonts w:hint="eastAsia"/>
          <w:highlight w:val="none"/>
          <w:lang w:val="en-US" w:eastAsia="zh-CN"/>
        </w:rPr>
        <w:t>三、</w:t>
      </w:r>
      <w:r>
        <w:rPr>
          <w:rFonts w:hint="eastAsia" w:ascii="黑体" w:hAnsi="黑体"/>
          <w:highlight w:val="none"/>
        </w:rPr>
        <w:t>供应商资格要求</w:t>
      </w:r>
      <w:bookmarkEnd w:id="12"/>
    </w:p>
    <w:p>
      <w:pPr>
        <w:autoSpaceDE w:val="0"/>
        <w:spacing w:line="400" w:lineRule="exact"/>
        <w:jc w:val="both"/>
        <w:outlineLvl w:val="2"/>
        <w:rPr>
          <w:rFonts w:ascii="宋体" w:hAnsi="宋体"/>
          <w:sz w:val="24"/>
          <w:highlight w:val="none"/>
        </w:rPr>
      </w:pPr>
      <w:bookmarkStart w:id="13" w:name="_Toc24824"/>
      <w:r>
        <w:rPr>
          <w:rFonts w:hint="eastAsia" w:ascii="宋体" w:hAnsi="宋体"/>
          <w:b/>
          <w:bCs/>
          <w:sz w:val="24"/>
          <w:highlight w:val="none"/>
          <w:lang w:eastAsia="zh-CN"/>
        </w:rPr>
        <w:t>（</w:t>
      </w:r>
      <w:r>
        <w:rPr>
          <w:rFonts w:hint="eastAsia" w:ascii="宋体" w:hAnsi="宋体"/>
          <w:b/>
          <w:bCs/>
          <w:sz w:val="24"/>
          <w:highlight w:val="none"/>
          <w:lang w:val="en-US" w:eastAsia="zh-CN"/>
        </w:rPr>
        <w:t>一</w:t>
      </w:r>
      <w:r>
        <w:rPr>
          <w:rFonts w:hint="eastAsia" w:ascii="宋体" w:hAnsi="宋体"/>
          <w:b/>
          <w:bCs/>
          <w:sz w:val="24"/>
          <w:highlight w:val="none"/>
          <w:lang w:eastAsia="zh-CN"/>
        </w:rPr>
        <w:t>）</w:t>
      </w:r>
      <w:r>
        <w:rPr>
          <w:rFonts w:hint="eastAsia" w:ascii="宋体" w:hAnsi="宋体"/>
          <w:sz w:val="24"/>
          <w:highlight w:val="none"/>
        </w:rPr>
        <w:t>供应商不得存在下列情形之一:</w:t>
      </w:r>
      <w:bookmarkEnd w:id="13"/>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（1）处于被责令停产停业、暂扣或者吊销执照、暂扣或者吊销许可证、吊销资质证书状态;</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（2）进入清算程序，或被宣告破产，或其他丧失履约能力的情形;</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（3）被采购人或采购人上级单位纳入黑名单</w:t>
      </w:r>
    </w:p>
    <w:p>
      <w:pPr>
        <w:autoSpaceDE w:val="0"/>
        <w:spacing w:line="400" w:lineRule="exact"/>
        <w:jc w:val="both"/>
        <w:outlineLvl w:val="2"/>
        <w:rPr>
          <w:rFonts w:ascii="宋体" w:hAnsi="宋体"/>
          <w:sz w:val="24"/>
          <w:highlight w:val="none"/>
        </w:rPr>
      </w:pPr>
      <w:bookmarkStart w:id="14" w:name="_Toc4443"/>
      <w:r>
        <w:rPr>
          <w:rFonts w:hint="eastAsia" w:ascii="宋体" w:hAnsi="宋体"/>
          <w:b/>
          <w:bCs/>
          <w:sz w:val="24"/>
          <w:highlight w:val="none"/>
          <w:lang w:eastAsia="zh-CN"/>
        </w:rPr>
        <w:t>（</w:t>
      </w:r>
      <w:r>
        <w:rPr>
          <w:rFonts w:hint="eastAsia" w:ascii="宋体" w:hAnsi="宋体"/>
          <w:b/>
          <w:bCs/>
          <w:sz w:val="24"/>
          <w:highlight w:val="none"/>
          <w:lang w:val="en-US" w:eastAsia="zh-CN"/>
        </w:rPr>
        <w:t>二）</w:t>
      </w:r>
      <w:r>
        <w:rPr>
          <w:rFonts w:hint="eastAsia" w:ascii="宋体" w:hAnsi="宋体"/>
          <w:sz w:val="24"/>
          <w:highlight w:val="none"/>
        </w:rPr>
        <w:t>供应商应满足如下要求:</w:t>
      </w:r>
      <w:bookmarkEnd w:id="14"/>
    </w:p>
    <w:tbl>
      <w:tblPr>
        <w:tblStyle w:val="20"/>
        <w:tblpPr w:leftFromText="180" w:rightFromText="180" w:vertAnchor="text" w:horzAnchor="margin" w:tblpY="216"/>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7"/>
        <w:gridCol w:w="1643"/>
        <w:gridCol w:w="5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47" w:type="dxa"/>
          </w:tcPr>
          <w:p>
            <w:pPr>
              <w:widowControl w:val="0"/>
              <w:spacing w:line="320" w:lineRule="exact"/>
              <w:jc w:val="center"/>
              <w:rPr>
                <w:rFonts w:ascii="宋体" w:hAnsi="宋体"/>
                <w:sz w:val="24"/>
                <w:highlight w:val="none"/>
              </w:rPr>
            </w:pPr>
            <w:r>
              <w:rPr>
                <w:rFonts w:hint="eastAsia" w:ascii="宋体" w:hAnsi="宋体"/>
                <w:sz w:val="24"/>
                <w:highlight w:val="none"/>
              </w:rPr>
              <w:t>资格条件</w:t>
            </w:r>
          </w:p>
        </w:tc>
        <w:tc>
          <w:tcPr>
            <w:tcW w:w="1643" w:type="dxa"/>
          </w:tcPr>
          <w:p>
            <w:pPr>
              <w:widowControl w:val="0"/>
              <w:spacing w:line="320" w:lineRule="exact"/>
              <w:jc w:val="center"/>
              <w:rPr>
                <w:rFonts w:ascii="宋体" w:hAnsi="宋体"/>
                <w:sz w:val="24"/>
                <w:highlight w:val="none"/>
              </w:rPr>
            </w:pPr>
            <w:r>
              <w:rPr>
                <w:rFonts w:hint="eastAsia" w:ascii="宋体" w:hAnsi="宋体"/>
                <w:sz w:val="24"/>
                <w:highlight w:val="none"/>
              </w:rPr>
              <w:t>对供应商要求</w:t>
            </w:r>
          </w:p>
        </w:tc>
        <w:tc>
          <w:tcPr>
            <w:tcW w:w="5008" w:type="dxa"/>
          </w:tcPr>
          <w:p>
            <w:pPr>
              <w:widowControl w:val="0"/>
              <w:spacing w:line="320" w:lineRule="exact"/>
              <w:jc w:val="center"/>
              <w:rPr>
                <w:rFonts w:ascii="宋体" w:hAnsi="宋体"/>
                <w:sz w:val="24"/>
                <w:highlight w:val="none"/>
              </w:rPr>
            </w:pPr>
            <w:r>
              <w:rPr>
                <w:rFonts w:hint="eastAsia" w:ascii="宋体" w:hAnsi="宋体"/>
                <w:sz w:val="24"/>
                <w:highlight w:val="none"/>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（1）依法设立</w:t>
            </w:r>
          </w:p>
        </w:tc>
        <w:tc>
          <w:tcPr>
            <w:tcW w:w="1643"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w:t>
            </w:r>
          </w:p>
        </w:tc>
        <w:tc>
          <w:tcPr>
            <w:tcW w:w="5008"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（2）资质要求</w:t>
            </w:r>
          </w:p>
        </w:tc>
        <w:tc>
          <w:tcPr>
            <w:tcW w:w="1643"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w:t>
            </w:r>
          </w:p>
        </w:tc>
        <w:tc>
          <w:tcPr>
            <w:tcW w:w="5008"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适用,见采购文件供应商须知前附表3.5（2）。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color w:val="FF0000"/>
                <w:sz w:val="24"/>
                <w:highlight w:val="none"/>
              </w:rPr>
            </w:pPr>
            <w:r>
              <w:rPr>
                <w:rFonts w:hint="eastAsia" w:ascii="宋体" w:hAnsi="宋体"/>
                <w:color w:val="auto"/>
                <w:sz w:val="24"/>
                <w:highlight w:val="none"/>
              </w:rPr>
              <w:t>（3）财务要求</w:t>
            </w:r>
          </w:p>
        </w:tc>
        <w:tc>
          <w:tcPr>
            <w:tcW w:w="1643"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color w:val="FF0000"/>
                <w:sz w:val="24"/>
                <w:highlight w:val="none"/>
              </w:rPr>
            </w:pPr>
          </w:p>
        </w:tc>
        <w:tc>
          <w:tcPr>
            <w:tcW w:w="5008"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（4）业绩要求</w:t>
            </w:r>
          </w:p>
        </w:tc>
        <w:tc>
          <w:tcPr>
            <w:tcW w:w="1643"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适用  </w:t>
            </w:r>
          </w:p>
          <w:p>
            <w:pPr>
              <w:widowControl w:val="0"/>
              <w:spacing w:line="320" w:lineRule="exact"/>
              <w:jc w:val="both"/>
              <w:rPr>
                <w:rFonts w:ascii="宋体" w:hAnsi="宋体"/>
                <w:sz w:val="24"/>
                <w:highlight w:val="none"/>
              </w:rPr>
            </w:pPr>
          </w:p>
        </w:tc>
        <w:tc>
          <w:tcPr>
            <w:tcW w:w="5008"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（5）信誉要求</w:t>
            </w:r>
          </w:p>
        </w:tc>
        <w:tc>
          <w:tcPr>
            <w:tcW w:w="1643"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sz w:val="24"/>
                <w:highlight w:val="none"/>
              </w:rPr>
            </w:pPr>
          </w:p>
        </w:tc>
        <w:tc>
          <w:tcPr>
            <w:tcW w:w="5008"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447" w:type="dxa"/>
          </w:tcPr>
          <w:p>
            <w:pPr>
              <w:widowControl w:val="0"/>
              <w:spacing w:line="288" w:lineRule="auto"/>
              <w:jc w:val="both"/>
              <w:rPr>
                <w:rFonts w:ascii="宋体" w:hAnsi="宋体"/>
                <w:sz w:val="24"/>
                <w:highlight w:val="none"/>
              </w:rPr>
            </w:pPr>
            <w:r>
              <w:rPr>
                <w:rFonts w:hint="eastAsia" w:ascii="宋体" w:hAnsi="宋体"/>
                <w:sz w:val="24"/>
                <w:highlight w:val="none"/>
              </w:rPr>
              <w:t>（6）承担本项目的主要人员要求</w:t>
            </w:r>
          </w:p>
        </w:tc>
        <w:tc>
          <w:tcPr>
            <w:tcW w:w="1643"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w:t>
            </w:r>
          </w:p>
        </w:tc>
        <w:tc>
          <w:tcPr>
            <w:tcW w:w="5008"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适用,见采购文件供应商须知前附表3.5（6）。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（7）其他要求</w:t>
            </w:r>
          </w:p>
        </w:tc>
        <w:tc>
          <w:tcPr>
            <w:tcW w:w="1643"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sz w:val="24"/>
                <w:highlight w:val="none"/>
              </w:rPr>
            </w:pPr>
          </w:p>
        </w:tc>
        <w:tc>
          <w:tcPr>
            <w:tcW w:w="5008"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447" w:type="dxa"/>
          </w:tcPr>
          <w:p>
            <w:pPr>
              <w:widowControl w:val="0"/>
              <w:spacing w:line="288" w:lineRule="auto"/>
              <w:jc w:val="both"/>
              <w:rPr>
                <w:rFonts w:ascii="宋体" w:hAnsi="宋体"/>
                <w:sz w:val="24"/>
                <w:highlight w:val="none"/>
              </w:rPr>
            </w:pPr>
            <w:r>
              <w:rPr>
                <w:rFonts w:hint="eastAsia" w:ascii="宋体" w:hAnsi="宋体"/>
                <w:sz w:val="24"/>
                <w:highlight w:val="none"/>
              </w:rPr>
              <w:t>（8）供应商不存在第一章3.1款情形的证明材料</w:t>
            </w:r>
          </w:p>
        </w:tc>
        <w:tc>
          <w:tcPr>
            <w:tcW w:w="1643"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w:t>
            </w:r>
          </w:p>
        </w:tc>
        <w:tc>
          <w:tcPr>
            <w:tcW w:w="5008"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适用,见采购文件供应商须知前附表3.5（8）。</w:t>
            </w:r>
          </w:p>
        </w:tc>
      </w:tr>
    </w:tbl>
    <w:p>
      <w:pPr>
        <w:autoSpaceDE w:val="0"/>
        <w:spacing w:line="400" w:lineRule="exact"/>
        <w:ind w:firstLine="240" w:firstLineChars="100"/>
        <w:rPr>
          <w:rFonts w:ascii="宋体" w:hAnsi="宋体"/>
          <w:color w:val="000000" w:themeColor="text1"/>
          <w:sz w:val="24"/>
          <w:highlight w:val="none"/>
          <w14:textFill>
            <w14:solidFill>
              <w14:schemeClr w14:val="tx1"/>
            </w14:solidFill>
          </w14:textFill>
        </w:rPr>
      </w:pPr>
    </w:p>
    <w:p>
      <w:pPr>
        <w:pStyle w:val="5"/>
        <w:jc w:val="both"/>
        <w:outlineLvl w:val="1"/>
        <w:rPr>
          <w:rFonts w:ascii="Arial" w:hAnsi="Arial"/>
          <w:highlight w:val="none"/>
        </w:rPr>
      </w:pPr>
      <w:bookmarkStart w:id="15" w:name="_Toc15951"/>
      <w:r>
        <w:rPr>
          <w:rFonts w:hint="eastAsia"/>
          <w:highlight w:val="none"/>
          <w:lang w:val="en-US" w:eastAsia="zh-CN"/>
        </w:rPr>
        <w:t>四、</w:t>
      </w:r>
      <w:r>
        <w:rPr>
          <w:rFonts w:hint="eastAsia" w:ascii="黑体" w:hAnsi="黑体"/>
          <w:highlight w:val="none"/>
        </w:rPr>
        <w:t>响应保证金</w:t>
      </w:r>
      <w:bookmarkEnd w:id="15"/>
    </w:p>
    <w:tbl>
      <w:tblPr>
        <w:tblStyle w:val="20"/>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8"/>
        <w:gridCol w:w="3314"/>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738" w:type="dxa"/>
          </w:tcPr>
          <w:p>
            <w:pPr>
              <w:widowControl w:val="0"/>
              <w:autoSpaceDE w:val="0"/>
              <w:spacing w:line="400" w:lineRule="exact"/>
              <w:jc w:val="both"/>
              <w:rPr>
                <w:rFonts w:ascii="宋体" w:hAnsi="宋体"/>
                <w:sz w:val="24"/>
                <w:highlight w:val="none"/>
              </w:rPr>
            </w:pPr>
            <w:r>
              <w:rPr>
                <w:rFonts w:hint="eastAsia" w:ascii="宋体" w:hAnsi="宋体"/>
                <w:sz w:val="24"/>
                <w:highlight w:val="none"/>
              </w:rPr>
              <w:t>响应保证金的递交</w:t>
            </w:r>
          </w:p>
        </w:tc>
        <w:tc>
          <w:tcPr>
            <w:tcW w:w="3314" w:type="dxa"/>
          </w:tcPr>
          <w:p>
            <w:pPr>
              <w:widowControl w:val="0"/>
              <w:autoSpaceDE w:val="0"/>
              <w:spacing w:line="400" w:lineRule="exact"/>
              <w:jc w:val="both"/>
              <w:rPr>
                <w:rFonts w:ascii="黑体" w:hAnsi="黑体"/>
                <w:highlight w:val="none"/>
              </w:rPr>
            </w:pPr>
            <w:r>
              <w:rPr>
                <w:rFonts w:hint="eastAsia" w:ascii="宋体" w:hAnsi="宋体"/>
                <w:sz w:val="24"/>
                <w:highlight w:val="none"/>
              </w:rPr>
              <w:t>不退还响应保证金的其他情形</w:t>
            </w:r>
          </w:p>
        </w:tc>
        <w:tc>
          <w:tcPr>
            <w:tcW w:w="3046" w:type="dxa"/>
          </w:tcPr>
          <w:p>
            <w:pPr>
              <w:widowControl w:val="0"/>
              <w:autoSpaceDE w:val="0"/>
              <w:spacing w:line="400" w:lineRule="exact"/>
              <w:jc w:val="both"/>
              <w:rPr>
                <w:rFonts w:ascii="黑体" w:hAnsi="黑体"/>
                <w:highlight w:val="none"/>
              </w:rPr>
            </w:pPr>
            <w:r>
              <w:rPr>
                <w:rFonts w:hint="eastAsia" w:ascii="宋体" w:hAnsi="宋体"/>
                <w:sz w:val="24"/>
                <w:highlight w:val="none"/>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738" w:type="dxa"/>
          </w:tcPr>
          <w:p>
            <w:pPr>
              <w:widowControl w:val="0"/>
              <w:autoSpaceDE w:val="0"/>
              <w:spacing w:line="400" w:lineRule="exact"/>
              <w:jc w:val="both"/>
              <w:rPr>
                <w:rFonts w:ascii="宋体" w:hAnsi="宋体"/>
                <w:sz w:val="24"/>
                <w:highlight w:val="none"/>
              </w:rPr>
            </w:pPr>
            <w:r>
              <w:rPr>
                <w:rStyle w:val="22"/>
                <w:rFonts w:hint="eastAsia"/>
                <w:highlight w:val="none"/>
              </w:rPr>
              <w:t>☑</w:t>
            </w:r>
            <w:r>
              <w:rPr>
                <w:rFonts w:hint="eastAsia" w:ascii="宋体" w:hAnsi="宋体"/>
                <w:sz w:val="24"/>
                <w:highlight w:val="none"/>
              </w:rPr>
              <w:t>不要求递交</w:t>
            </w:r>
          </w:p>
        </w:tc>
        <w:tc>
          <w:tcPr>
            <w:tcW w:w="3314" w:type="dxa"/>
          </w:tcPr>
          <w:p>
            <w:pPr>
              <w:widowControl w:val="0"/>
              <w:autoSpaceDE w:val="0"/>
              <w:spacing w:line="400" w:lineRule="exact"/>
              <w:jc w:val="both"/>
              <w:rPr>
                <w:rFonts w:ascii="黑体" w:hAnsi="黑体"/>
                <w:highlight w:val="none"/>
              </w:rPr>
            </w:pPr>
            <w:r>
              <w:rPr>
                <w:rStyle w:val="22"/>
                <w:rFonts w:hint="eastAsia"/>
                <w:highlight w:val="none"/>
              </w:rPr>
              <w:t>☑不</w:t>
            </w:r>
            <w:r>
              <w:rPr>
                <w:rFonts w:hint="eastAsia" w:ascii="宋体" w:hAnsi="宋体"/>
                <w:sz w:val="24"/>
                <w:highlight w:val="none"/>
              </w:rPr>
              <w:t>适用</w:t>
            </w:r>
          </w:p>
        </w:tc>
        <w:tc>
          <w:tcPr>
            <w:tcW w:w="3046" w:type="dxa"/>
          </w:tcPr>
          <w:p>
            <w:pPr>
              <w:widowControl w:val="0"/>
              <w:autoSpaceDE w:val="0"/>
              <w:spacing w:line="400" w:lineRule="exact"/>
              <w:jc w:val="both"/>
              <w:rPr>
                <w:rFonts w:ascii="黑体" w:hAnsi="黑体"/>
                <w:highlight w:val="none"/>
              </w:rPr>
            </w:pPr>
            <w:r>
              <w:rPr>
                <w:rStyle w:val="22"/>
                <w:rFonts w:hint="eastAsia"/>
                <w:highlight w:val="none"/>
              </w:rPr>
              <w:t>☑</w:t>
            </w:r>
            <w:r>
              <w:rPr>
                <w:rFonts w:hint="eastAsia" w:ascii="宋体" w:hAnsi="宋体"/>
                <w:sz w:val="24"/>
                <w:highlight w:val="none"/>
              </w:rPr>
              <w:t>不适用</w:t>
            </w:r>
          </w:p>
        </w:tc>
      </w:tr>
    </w:tbl>
    <w:p>
      <w:pPr>
        <w:pStyle w:val="5"/>
        <w:jc w:val="both"/>
        <w:outlineLvl w:val="1"/>
        <w:rPr>
          <w:rFonts w:ascii="Arial" w:hAnsi="Arial"/>
          <w:highlight w:val="none"/>
        </w:rPr>
      </w:pPr>
      <w:bookmarkStart w:id="16" w:name="_Toc9928"/>
      <w:r>
        <w:rPr>
          <w:rFonts w:hint="eastAsia"/>
          <w:highlight w:val="none"/>
          <w:lang w:val="en-US" w:eastAsia="zh-CN"/>
        </w:rPr>
        <w:t>五、</w:t>
      </w:r>
      <w:r>
        <w:rPr>
          <w:rFonts w:hint="eastAsia" w:ascii="黑体" w:hAnsi="黑体"/>
          <w:highlight w:val="none"/>
        </w:rPr>
        <w:t>确定成交供应商的方法</w:t>
      </w:r>
      <w:bookmarkEnd w:id="1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17" w:name="_Toc25167"/>
      <w:r>
        <w:rPr>
          <w:rFonts w:hint="eastAsia" w:ascii="宋体" w:hAnsi="宋体" w:eastAsia="宋体" w:cs="宋体"/>
          <w:bCs/>
          <w:color w:val="000000"/>
          <w:sz w:val="24"/>
          <w:szCs w:val="24"/>
          <w:highlight w:val="none"/>
          <w:lang w:val="en-US" w:eastAsia="zh-CN"/>
        </w:rPr>
        <w:t>（一）最低价法</w:t>
      </w:r>
      <w:bookmarkEnd w:id="17"/>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（二）采购人应当确定排名第一的成交候选供应商为成交供应商。若排名第一的成交候选供应商未通过履约能力和报价核查，采购人应按推荐的名单排序依次确定其他成交候选供应商为成交供应商。 </w:t>
      </w:r>
    </w:p>
    <w:p>
      <w:pPr>
        <w:pStyle w:val="5"/>
        <w:jc w:val="both"/>
        <w:outlineLvl w:val="1"/>
        <w:rPr>
          <w:rFonts w:ascii="黑体" w:hAnsi="黑体"/>
          <w:highlight w:val="none"/>
        </w:rPr>
      </w:pPr>
      <w:bookmarkStart w:id="18" w:name="_Toc18447"/>
      <w:r>
        <w:rPr>
          <w:rFonts w:hint="eastAsia"/>
          <w:highlight w:val="none"/>
          <w:lang w:val="en-US" w:eastAsia="zh-CN"/>
        </w:rPr>
        <w:t>六、</w:t>
      </w:r>
      <w:r>
        <w:rPr>
          <w:rFonts w:hint="eastAsia" w:ascii="黑体" w:hAnsi="黑体"/>
          <w:highlight w:val="none"/>
        </w:rPr>
        <w:t>采购文件获取</w:t>
      </w:r>
      <w:bookmarkEnd w:id="1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 供应商应当于2022年</w:t>
      </w:r>
      <w:r>
        <w:rPr>
          <w:rFonts w:hint="eastAsia" w:ascii="宋体" w:hAnsi="宋体" w:cs="宋体"/>
          <w:bCs/>
          <w:color w:val="000000"/>
          <w:sz w:val="24"/>
          <w:szCs w:val="24"/>
          <w:highlight w:val="none"/>
          <w:lang w:val="en-US" w:eastAsia="zh-CN"/>
        </w:rPr>
        <w:t>26</w:t>
      </w:r>
      <w:r>
        <w:rPr>
          <w:rFonts w:hint="eastAsia" w:ascii="宋体" w:hAnsi="宋体" w:eastAsia="宋体" w:cs="宋体"/>
          <w:bCs/>
          <w:color w:val="000000"/>
          <w:sz w:val="24"/>
          <w:szCs w:val="24"/>
          <w:highlight w:val="none"/>
          <w:lang w:val="en-US" w:eastAsia="zh-CN"/>
        </w:rPr>
        <w:t>月</w:t>
      </w:r>
      <w:r>
        <w:rPr>
          <w:rFonts w:hint="eastAsia" w:ascii="宋体" w:hAnsi="宋体" w:cs="宋体"/>
          <w:bCs/>
          <w:color w:val="000000"/>
          <w:sz w:val="24"/>
          <w:szCs w:val="24"/>
          <w:highlight w:val="none"/>
          <w:lang w:val="en-US" w:eastAsia="zh-CN"/>
        </w:rPr>
        <w:t xml:space="preserve"> </w:t>
      </w:r>
      <w:r>
        <w:rPr>
          <w:rFonts w:hint="eastAsia" w:ascii="宋体" w:hAnsi="宋体" w:eastAsia="宋体" w:cs="宋体"/>
          <w:bCs/>
          <w:color w:val="000000"/>
          <w:sz w:val="24"/>
          <w:szCs w:val="24"/>
          <w:highlight w:val="none"/>
          <w:lang w:val="en-US" w:eastAsia="zh-CN"/>
        </w:rPr>
        <w:t>至2022年</w:t>
      </w:r>
      <w:r>
        <w:rPr>
          <w:rFonts w:hint="eastAsia" w:ascii="宋体" w:hAnsi="宋体" w:cs="宋体"/>
          <w:bCs/>
          <w:color w:val="000000"/>
          <w:sz w:val="24"/>
          <w:szCs w:val="24"/>
          <w:highlight w:val="none"/>
          <w:lang w:val="en-US" w:eastAsia="zh-CN"/>
        </w:rPr>
        <w:t>11</w:t>
      </w:r>
      <w:r>
        <w:rPr>
          <w:rFonts w:hint="eastAsia" w:ascii="宋体" w:hAnsi="宋体" w:eastAsia="宋体" w:cs="宋体"/>
          <w:bCs/>
          <w:color w:val="000000"/>
          <w:sz w:val="24"/>
          <w:szCs w:val="24"/>
          <w:highlight w:val="none"/>
          <w:lang w:val="en-US" w:eastAsia="zh-CN"/>
        </w:rPr>
        <w:t>月</w:t>
      </w:r>
      <w:r>
        <w:rPr>
          <w:rFonts w:hint="eastAsia" w:ascii="宋体" w:hAnsi="宋体" w:cs="宋体"/>
          <w:bCs/>
          <w:color w:val="000000"/>
          <w:sz w:val="24"/>
          <w:szCs w:val="24"/>
          <w:highlight w:val="none"/>
          <w:lang w:val="en-US" w:eastAsia="zh-CN"/>
        </w:rPr>
        <w:t xml:space="preserve">30 </w:t>
      </w:r>
      <w:r>
        <w:rPr>
          <w:rFonts w:hint="eastAsia" w:ascii="宋体" w:hAnsi="宋体" w:eastAsia="宋体" w:cs="宋体"/>
          <w:bCs/>
          <w:color w:val="000000"/>
          <w:sz w:val="24"/>
          <w:szCs w:val="24"/>
          <w:highlight w:val="none"/>
          <w:lang w:val="en-US" w:eastAsia="zh-CN"/>
        </w:rPr>
        <w:t>日，在中国招标投标公共服务平台（http：//www.cebpubservice.com）、湖南省湘水集团有限公司网站（http：//www.hnsxsjt.com）、湖南省港务集团有限公司门户网站（http://www.hnsgwjt.com/）上获取采购文件。</w:t>
      </w:r>
    </w:p>
    <w:p>
      <w:pPr>
        <w:adjustRightInd w:val="0"/>
        <w:snapToGrid w:val="0"/>
        <w:spacing w:line="540" w:lineRule="exact"/>
        <w:ind w:firstLine="480" w:firstLineChars="200"/>
        <w:rPr>
          <w:highlight w:val="none"/>
        </w:rPr>
      </w:pPr>
      <w:r>
        <w:rPr>
          <w:rFonts w:hint="eastAsia" w:ascii="宋体" w:hAnsi="宋体" w:eastAsia="宋体" w:cs="宋体"/>
          <w:bCs/>
          <w:color w:val="000000"/>
          <w:sz w:val="24"/>
          <w:szCs w:val="24"/>
          <w:highlight w:val="none"/>
          <w:lang w:val="en-US" w:eastAsia="zh-CN"/>
        </w:rPr>
        <w:t>（二）供应商若对本项目采购需求、资格要求等有疑问的，应当于2022年</w:t>
      </w:r>
      <w:r>
        <w:rPr>
          <w:rFonts w:hint="eastAsia" w:ascii="宋体" w:hAnsi="宋体" w:cs="宋体"/>
          <w:bCs/>
          <w:color w:val="000000"/>
          <w:sz w:val="24"/>
          <w:szCs w:val="24"/>
          <w:highlight w:val="none"/>
          <w:lang w:val="en-US" w:eastAsia="zh-CN"/>
        </w:rPr>
        <w:t xml:space="preserve">11 </w:t>
      </w:r>
      <w:r>
        <w:rPr>
          <w:rFonts w:hint="eastAsia" w:ascii="宋体" w:hAnsi="宋体" w:eastAsia="宋体" w:cs="宋体"/>
          <w:bCs/>
          <w:color w:val="000000"/>
          <w:sz w:val="24"/>
          <w:szCs w:val="24"/>
          <w:highlight w:val="none"/>
          <w:lang w:val="en-US" w:eastAsia="zh-CN"/>
        </w:rPr>
        <w:t>月</w:t>
      </w:r>
      <w:r>
        <w:rPr>
          <w:rFonts w:hint="eastAsia" w:ascii="宋体" w:hAnsi="宋体" w:cs="宋体"/>
          <w:bCs/>
          <w:color w:val="000000"/>
          <w:sz w:val="24"/>
          <w:szCs w:val="24"/>
          <w:highlight w:val="none"/>
          <w:lang w:val="en-US" w:eastAsia="zh-CN"/>
        </w:rPr>
        <w:t xml:space="preserve">30 </w:t>
      </w:r>
      <w:r>
        <w:rPr>
          <w:rFonts w:hint="eastAsia" w:ascii="宋体" w:hAnsi="宋体" w:eastAsia="宋体" w:cs="宋体"/>
          <w:bCs/>
          <w:color w:val="000000"/>
          <w:sz w:val="24"/>
          <w:szCs w:val="24"/>
          <w:highlight w:val="none"/>
          <w:lang w:val="en-US" w:eastAsia="zh-CN"/>
        </w:rPr>
        <w:t>日</w:t>
      </w:r>
      <w:r>
        <w:rPr>
          <w:rFonts w:hint="eastAsia" w:ascii="宋体" w:hAnsi="宋体" w:cs="宋体"/>
          <w:bCs/>
          <w:color w:val="000000"/>
          <w:sz w:val="24"/>
          <w:szCs w:val="24"/>
          <w:highlight w:val="none"/>
          <w:lang w:val="en-US" w:eastAsia="zh-CN"/>
        </w:rPr>
        <w:t xml:space="preserve">17 </w:t>
      </w:r>
      <w:r>
        <w:rPr>
          <w:rFonts w:hint="eastAsia" w:ascii="宋体" w:hAnsi="宋体" w:eastAsia="宋体" w:cs="宋体"/>
          <w:bCs/>
          <w:color w:val="000000"/>
          <w:sz w:val="24"/>
          <w:szCs w:val="24"/>
          <w:highlight w:val="none"/>
          <w:lang w:val="en-US" w:eastAsia="zh-CN"/>
        </w:rPr>
        <w:t>时</w:t>
      </w:r>
      <w:r>
        <w:rPr>
          <w:rFonts w:hint="eastAsia" w:ascii="宋体" w:hAnsi="宋体" w:cs="宋体"/>
          <w:bCs/>
          <w:color w:val="000000"/>
          <w:sz w:val="24"/>
          <w:szCs w:val="24"/>
          <w:highlight w:val="none"/>
          <w:lang w:val="en-US" w:eastAsia="zh-CN"/>
        </w:rPr>
        <w:t xml:space="preserve">00 </w:t>
      </w:r>
      <w:r>
        <w:rPr>
          <w:rFonts w:hint="eastAsia" w:ascii="宋体" w:hAnsi="宋体" w:eastAsia="宋体" w:cs="宋体"/>
          <w:bCs/>
          <w:color w:val="000000"/>
          <w:sz w:val="24"/>
          <w:szCs w:val="24"/>
          <w:highlight w:val="none"/>
          <w:lang w:val="en-US" w:eastAsia="zh-CN"/>
        </w:rPr>
        <w:t>分前向采购人提出澄清要求</w:t>
      </w:r>
      <w:r>
        <w:rPr>
          <w:rFonts w:hint="eastAsia" w:ascii="宋体" w:hAnsi="宋体" w:cs="宋体"/>
          <w:bCs/>
          <w:color w:val="000000"/>
          <w:sz w:val="24"/>
          <w:szCs w:val="24"/>
          <w:highlight w:val="none"/>
          <w:lang w:val="en-US" w:eastAsia="zh-CN"/>
        </w:rPr>
        <w:t>，</w:t>
      </w:r>
      <w:r>
        <w:rPr>
          <w:rFonts w:hint="eastAsia" w:ascii="宋体" w:hAnsi="宋体" w:eastAsia="宋体" w:cs="宋体"/>
          <w:bCs/>
          <w:color w:val="000000"/>
          <w:sz w:val="24"/>
          <w:szCs w:val="24"/>
          <w:highlight w:val="none"/>
          <w:lang w:val="en-US" w:eastAsia="zh-CN"/>
        </w:rPr>
        <w:t>于2022年</w:t>
      </w:r>
      <w:r>
        <w:rPr>
          <w:rFonts w:hint="eastAsia" w:ascii="宋体" w:hAnsi="宋体" w:cs="宋体"/>
          <w:bCs/>
          <w:color w:val="000000"/>
          <w:sz w:val="24"/>
          <w:szCs w:val="24"/>
          <w:highlight w:val="none"/>
          <w:lang w:val="en-US" w:eastAsia="zh-CN"/>
        </w:rPr>
        <w:t xml:space="preserve">12 </w:t>
      </w:r>
      <w:r>
        <w:rPr>
          <w:rFonts w:hint="eastAsia" w:ascii="宋体" w:hAnsi="宋体" w:eastAsia="宋体" w:cs="宋体"/>
          <w:bCs/>
          <w:color w:val="000000"/>
          <w:sz w:val="24"/>
          <w:szCs w:val="24"/>
          <w:highlight w:val="none"/>
          <w:lang w:val="en-US" w:eastAsia="zh-CN"/>
        </w:rPr>
        <w:t>月</w:t>
      </w:r>
      <w:r>
        <w:rPr>
          <w:rFonts w:hint="eastAsia" w:ascii="宋体" w:hAnsi="宋体" w:cs="宋体"/>
          <w:bCs/>
          <w:color w:val="000000"/>
          <w:sz w:val="24"/>
          <w:szCs w:val="24"/>
          <w:highlight w:val="none"/>
          <w:lang w:val="en-US" w:eastAsia="zh-CN"/>
        </w:rPr>
        <w:t xml:space="preserve">1 </w:t>
      </w:r>
      <w:r>
        <w:rPr>
          <w:rFonts w:hint="eastAsia" w:ascii="宋体" w:hAnsi="宋体" w:eastAsia="宋体" w:cs="宋体"/>
          <w:bCs/>
          <w:color w:val="000000"/>
          <w:sz w:val="24"/>
          <w:szCs w:val="24"/>
          <w:highlight w:val="none"/>
          <w:lang w:val="en-US" w:eastAsia="zh-CN"/>
        </w:rPr>
        <w:t>日</w:t>
      </w:r>
      <w:r>
        <w:rPr>
          <w:rFonts w:hint="eastAsia" w:ascii="宋体" w:hAnsi="宋体" w:cs="宋体"/>
          <w:bCs/>
          <w:color w:val="000000"/>
          <w:sz w:val="24"/>
          <w:szCs w:val="24"/>
          <w:highlight w:val="none"/>
          <w:lang w:val="en-US" w:eastAsia="zh-CN"/>
        </w:rPr>
        <w:t xml:space="preserve">9 </w:t>
      </w:r>
      <w:r>
        <w:rPr>
          <w:rFonts w:hint="eastAsia" w:ascii="宋体" w:hAnsi="宋体" w:eastAsia="宋体" w:cs="宋体"/>
          <w:bCs/>
          <w:color w:val="000000"/>
          <w:sz w:val="24"/>
          <w:szCs w:val="24"/>
          <w:highlight w:val="none"/>
          <w:lang w:val="en-US" w:eastAsia="zh-CN"/>
        </w:rPr>
        <w:t>时00分前向采购人</w:t>
      </w:r>
      <w:r>
        <w:rPr>
          <w:rFonts w:hint="eastAsia" w:ascii="宋体" w:hAnsi="宋体" w:cs="宋体"/>
          <w:bCs/>
          <w:color w:val="000000"/>
          <w:sz w:val="24"/>
          <w:szCs w:val="24"/>
          <w:highlight w:val="none"/>
          <w:lang w:val="en-US" w:eastAsia="zh-CN"/>
        </w:rPr>
        <w:t>递交响应文件</w:t>
      </w:r>
      <w:r>
        <w:rPr>
          <w:rFonts w:hint="eastAsia" w:ascii="宋体" w:hAnsi="宋体" w:eastAsia="宋体" w:cs="宋体"/>
          <w:bCs/>
          <w:color w:val="000000"/>
          <w:sz w:val="24"/>
          <w:szCs w:val="24"/>
          <w:highlight w:val="none"/>
          <w:lang w:val="en-US" w:eastAsia="zh-CN"/>
        </w:rPr>
        <w:t>。</w:t>
      </w:r>
    </w:p>
    <w:p>
      <w:pPr>
        <w:pStyle w:val="4"/>
        <w:keepNext w:val="0"/>
        <w:keepLines w:val="0"/>
        <w:widowControl w:val="0"/>
        <w:adjustRightInd w:val="0"/>
        <w:snapToGrid w:val="0"/>
        <w:spacing w:after="0" w:line="312" w:lineRule="auto"/>
        <w:ind w:left="0" w:right="0" w:firstLine="0" w:firstLineChars="0"/>
        <w:jc w:val="both"/>
        <w:rPr>
          <w:rFonts w:hint="eastAsia" w:ascii="宋体" w:hAnsi="宋体" w:eastAsia="宋体" w:cs="宋体"/>
          <w:b/>
          <w:color w:val="auto"/>
          <w:sz w:val="24"/>
          <w:szCs w:val="24"/>
        </w:rPr>
      </w:pPr>
      <w:bookmarkStart w:id="19" w:name="_Toc10310"/>
      <w:r>
        <w:rPr>
          <w:rFonts w:hint="eastAsia" w:cs="宋体"/>
          <w:b/>
          <w:color w:val="auto"/>
          <w:sz w:val="24"/>
          <w:szCs w:val="24"/>
          <w:lang w:val="en-US" w:eastAsia="zh-CN"/>
        </w:rPr>
        <w:t>七</w:t>
      </w:r>
      <w:r>
        <w:rPr>
          <w:rFonts w:hint="eastAsia" w:ascii="宋体" w:hAnsi="宋体" w:eastAsia="宋体" w:cs="宋体"/>
          <w:b/>
          <w:color w:val="auto"/>
          <w:sz w:val="24"/>
          <w:szCs w:val="24"/>
        </w:rPr>
        <w:t>、最高投标限价</w:t>
      </w:r>
      <w:bookmarkEnd w:id="19"/>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采购人对本次询价项目设置了最高限价为</w:t>
      </w:r>
      <w:r>
        <w:rPr>
          <w:rFonts w:hint="eastAsia" w:ascii="宋体" w:hAnsi="宋体" w:cs="宋体"/>
          <w:bCs/>
          <w:color w:val="000000"/>
          <w:sz w:val="24"/>
          <w:szCs w:val="24"/>
          <w:highlight w:val="none"/>
          <w:lang w:val="en-US" w:eastAsia="zh-CN"/>
        </w:rPr>
        <w:t>壹拾壹万</w:t>
      </w:r>
      <w:r>
        <w:rPr>
          <w:rFonts w:hint="eastAsia" w:ascii="宋体" w:hAnsi="宋体" w:eastAsia="宋体" w:cs="宋体"/>
          <w:bCs/>
          <w:color w:val="000000"/>
          <w:sz w:val="24"/>
          <w:szCs w:val="24"/>
          <w:highlight w:val="none"/>
          <w:lang w:val="en-US" w:eastAsia="zh-CN"/>
        </w:rPr>
        <w:t>元整：</w:t>
      </w:r>
      <w:r>
        <w:rPr>
          <w:rFonts w:hint="eastAsia" w:ascii="宋体" w:hAnsi="宋体" w:eastAsia="宋体" w:cs="宋体"/>
          <w:bCs/>
          <w:color w:val="auto"/>
          <w:sz w:val="24"/>
          <w:szCs w:val="24"/>
          <w:highlight w:val="none"/>
          <w:lang w:val="en-US" w:eastAsia="zh-CN"/>
        </w:rPr>
        <w:t>¥</w:t>
      </w:r>
      <w:r>
        <w:rPr>
          <w:rFonts w:hint="eastAsia" w:ascii="宋体" w:hAnsi="宋体" w:cs="宋体"/>
          <w:bCs/>
          <w:color w:val="auto"/>
          <w:sz w:val="24"/>
          <w:szCs w:val="24"/>
          <w:highlight w:val="none"/>
          <w:lang w:val="en-US" w:eastAsia="zh-CN"/>
        </w:rPr>
        <w:t>110000</w:t>
      </w:r>
      <w:r>
        <w:rPr>
          <w:rFonts w:hint="eastAsia" w:ascii="宋体" w:hAnsi="宋体" w:eastAsia="宋体" w:cs="宋体"/>
          <w:bCs/>
          <w:color w:val="000000"/>
          <w:sz w:val="24"/>
          <w:szCs w:val="24"/>
          <w:highlight w:val="none"/>
          <w:lang w:val="en-US" w:eastAsia="zh-CN"/>
        </w:rPr>
        <w:t>（含</w:t>
      </w:r>
      <w:r>
        <w:rPr>
          <w:rFonts w:hint="eastAsia" w:ascii="宋体" w:hAnsi="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val="en-US" w:eastAsia="zh-CN"/>
        </w:rPr>
        <w:t>%增值税）超过最高限价的作废。如果报价人提供其他税率的增值税专用发票，</w:t>
      </w:r>
      <w:r>
        <w:rPr>
          <w:rFonts w:hint="eastAsia" w:ascii="宋体" w:hAnsi="宋体" w:cs="宋体"/>
          <w:bCs/>
          <w:color w:val="000000"/>
          <w:sz w:val="24"/>
          <w:szCs w:val="24"/>
          <w:highlight w:val="none"/>
          <w:lang w:val="en-US" w:eastAsia="zh-CN"/>
        </w:rPr>
        <w:t>采购</w:t>
      </w:r>
      <w:r>
        <w:rPr>
          <w:rFonts w:hint="eastAsia" w:ascii="宋体" w:hAnsi="宋体" w:eastAsia="宋体" w:cs="宋体"/>
          <w:bCs/>
          <w:color w:val="000000"/>
          <w:sz w:val="24"/>
          <w:szCs w:val="24"/>
          <w:highlight w:val="none"/>
          <w:lang w:val="en-US" w:eastAsia="zh-CN"/>
        </w:rPr>
        <w:t>人按</w:t>
      </w:r>
      <w:r>
        <w:rPr>
          <w:rFonts w:hint="eastAsia" w:ascii="宋体" w:hAnsi="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val="en-US" w:eastAsia="zh-CN"/>
        </w:rPr>
        <w:t>%的税率调整后计算报价参与排序。</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本项目的报价采用</w:t>
      </w:r>
      <w:r>
        <w:rPr>
          <w:rFonts w:hint="eastAsia" w:ascii="宋体" w:hAnsi="宋体" w:cs="宋体"/>
          <w:bCs/>
          <w:color w:val="000000"/>
          <w:sz w:val="24"/>
          <w:szCs w:val="24"/>
          <w:highlight w:val="none"/>
          <w:lang w:val="en-US" w:eastAsia="zh-CN"/>
        </w:rPr>
        <w:t>综合单价报价，最终价为综合单价*工程量计算，工程量以实际施工量为准</w:t>
      </w:r>
      <w:r>
        <w:rPr>
          <w:rFonts w:hint="eastAsia" w:ascii="宋体" w:hAnsi="宋体" w:eastAsia="宋体" w:cs="宋体"/>
          <w:bCs/>
          <w:color w:val="000000"/>
          <w:sz w:val="24"/>
          <w:szCs w:val="24"/>
          <w:highlight w:val="none"/>
          <w:lang w:val="en-US" w:eastAsia="zh-CN"/>
        </w:rPr>
        <w:t>。</w:t>
      </w:r>
    </w:p>
    <w:p>
      <w:pPr>
        <w:pStyle w:val="5"/>
        <w:jc w:val="both"/>
        <w:outlineLvl w:val="1"/>
        <w:rPr>
          <w:highlight w:val="none"/>
        </w:rPr>
      </w:pPr>
      <w:bookmarkStart w:id="20" w:name="_Toc76635692"/>
      <w:bookmarkStart w:id="21" w:name="_Toc77254104"/>
      <w:bookmarkStart w:id="22" w:name="_Toc512257471"/>
      <w:bookmarkStart w:id="23" w:name="_Toc1011"/>
      <w:bookmarkStart w:id="24" w:name="_Toc79596547"/>
      <w:r>
        <w:rPr>
          <w:rFonts w:hint="eastAsia"/>
          <w:highlight w:val="none"/>
          <w:lang w:val="en-US" w:eastAsia="zh-CN"/>
        </w:rPr>
        <w:t>八、</w:t>
      </w:r>
      <w:r>
        <w:rPr>
          <w:highlight w:val="none"/>
        </w:rPr>
        <w:t>监督</w:t>
      </w:r>
      <w:bookmarkEnd w:id="20"/>
      <w:bookmarkEnd w:id="21"/>
      <w:bookmarkEnd w:id="22"/>
      <w:r>
        <w:rPr>
          <w:rFonts w:hint="eastAsia"/>
          <w:highlight w:val="none"/>
        </w:rPr>
        <w:t>部门</w:t>
      </w:r>
      <w:bookmarkEnd w:id="23"/>
      <w:bookmarkEnd w:id="24"/>
    </w:p>
    <w:p>
      <w:pPr>
        <w:pStyle w:val="16"/>
        <w:widowControl w:val="0"/>
        <w:adjustRightInd w:val="0"/>
        <w:snapToGrid w:val="0"/>
        <w:spacing w:before="0" w:beforeAutospacing="0" w:after="0" w:afterAutospacing="0" w:line="312" w:lineRule="auto"/>
        <w:ind w:firstLine="480" w:firstLineChars="200"/>
        <w:jc w:val="both"/>
        <w:rPr>
          <w:rFonts w:cs="Times New Roman"/>
          <w:color w:val="auto"/>
          <w:highlight w:val="none"/>
        </w:rPr>
      </w:pPr>
      <w:r>
        <w:rPr>
          <w:rFonts w:cs="Times New Roman"/>
          <w:color w:val="auto"/>
          <w:highlight w:val="none"/>
        </w:rPr>
        <w:t>本次</w:t>
      </w:r>
      <w:r>
        <w:rPr>
          <w:rFonts w:hint="eastAsia" w:cs="Times New Roman"/>
          <w:color w:val="auto"/>
          <w:highlight w:val="none"/>
        </w:rPr>
        <w:t>采购</w:t>
      </w:r>
      <w:r>
        <w:rPr>
          <w:rFonts w:cs="Times New Roman"/>
          <w:color w:val="auto"/>
          <w:highlight w:val="none"/>
        </w:rPr>
        <w:t>监督部门为</w:t>
      </w:r>
      <w:r>
        <w:rPr>
          <w:rFonts w:hint="eastAsia" w:cs="Times New Roman"/>
          <w:color w:val="auto"/>
          <w:highlight w:val="none"/>
        </w:rPr>
        <w:t>湖南</w:t>
      </w:r>
      <w:r>
        <w:rPr>
          <w:rFonts w:hint="eastAsia"/>
          <w:color w:val="auto"/>
          <w:highlight w:val="none"/>
        </w:rPr>
        <w:t>港产科技有限公司党群综合部</w:t>
      </w:r>
      <w:r>
        <w:rPr>
          <w:rFonts w:hint="eastAsia"/>
          <w:color w:val="auto"/>
          <w:highlight w:val="none"/>
          <w:lang w:val="en-US" w:eastAsia="zh-CN"/>
        </w:rPr>
        <w:t>晏晶</w:t>
      </w:r>
      <w:r>
        <w:rPr>
          <w:rFonts w:cs="Times New Roman"/>
          <w:color w:val="auto"/>
          <w:highlight w:val="none"/>
        </w:rPr>
        <w:t>，电话：</w:t>
      </w:r>
      <w:r>
        <w:rPr>
          <w:rFonts w:hint="eastAsia" w:ascii="宋体" w:hAnsi="宋体" w:cs="宋体"/>
          <w:color w:val="auto"/>
          <w:highlight w:val="none"/>
          <w:u w:val="single"/>
          <w:lang w:eastAsia="zh-CN"/>
        </w:rPr>
        <w:t>1</w:t>
      </w:r>
      <w:r>
        <w:rPr>
          <w:rFonts w:hint="eastAsia" w:ascii="宋体" w:hAnsi="宋体" w:cs="宋体"/>
          <w:color w:val="auto"/>
          <w:highlight w:val="none"/>
          <w:u w:val="single"/>
          <w:lang w:val="en-US" w:eastAsia="zh-CN"/>
        </w:rPr>
        <w:t>3873063063</w:t>
      </w:r>
    </w:p>
    <w:p>
      <w:pPr>
        <w:pStyle w:val="5"/>
        <w:jc w:val="both"/>
        <w:outlineLvl w:val="1"/>
        <w:rPr>
          <w:rFonts w:ascii="Arial" w:hAnsi="Arial"/>
          <w:color w:val="auto"/>
          <w:highlight w:val="none"/>
        </w:rPr>
      </w:pPr>
      <w:bookmarkStart w:id="25" w:name="_Toc10723"/>
      <w:r>
        <w:rPr>
          <w:rFonts w:hint="eastAsia"/>
          <w:color w:val="auto"/>
          <w:highlight w:val="none"/>
          <w:lang w:val="en-US" w:eastAsia="zh-CN"/>
        </w:rPr>
        <w:t>九、</w:t>
      </w:r>
      <w:r>
        <w:rPr>
          <w:rFonts w:hint="eastAsia" w:ascii="黑体" w:hAnsi="黑体"/>
          <w:color w:val="auto"/>
          <w:highlight w:val="none"/>
        </w:rPr>
        <w:t>其他</w:t>
      </w:r>
      <w:bookmarkEnd w:id="25"/>
    </w:p>
    <w:p>
      <w:pPr>
        <w:autoSpaceDE w:val="0"/>
        <w:spacing w:line="360" w:lineRule="auto"/>
        <w:jc w:val="both"/>
        <w:rPr>
          <w:rFonts w:hint="eastAsia" w:ascii="宋体" w:hAnsi="宋体"/>
          <w:sz w:val="24"/>
          <w:highlight w:val="none"/>
        </w:rPr>
      </w:pPr>
      <w:r>
        <w:rPr>
          <w:rFonts w:hint="eastAsia" w:ascii="宋体" w:hAnsi="宋体"/>
          <w:sz w:val="24"/>
          <w:highlight w:val="none"/>
        </w:rPr>
        <w:t xml:space="preserve">采购人在签署采购合同时及合同履行过程中，有权对采购标的数量进行增加或减少的幅度: </w:t>
      </w:r>
      <w:r>
        <w:rPr>
          <w:rFonts w:hint="eastAsia" w:ascii="宋体" w:hAnsi="宋体"/>
          <w:sz w:val="24"/>
          <w:highlight w:val="none"/>
          <w:u w:val="single"/>
        </w:rPr>
        <w:t>10</w:t>
      </w:r>
      <w:r>
        <w:rPr>
          <w:rFonts w:hint="eastAsia" w:ascii="宋体" w:hAnsi="宋体"/>
          <w:sz w:val="24"/>
          <w:highlight w:val="none"/>
        </w:rPr>
        <w:t>%。</w:t>
      </w:r>
    </w:p>
    <w:p>
      <w:pPr>
        <w:pStyle w:val="5"/>
        <w:jc w:val="both"/>
        <w:outlineLvl w:val="1"/>
        <w:rPr>
          <w:rFonts w:ascii="Arial" w:hAnsi="Arial"/>
          <w:highlight w:val="none"/>
        </w:rPr>
      </w:pPr>
      <w:bookmarkStart w:id="26" w:name="_Toc17244"/>
      <w:r>
        <w:rPr>
          <w:rFonts w:hint="eastAsia"/>
          <w:highlight w:val="none"/>
          <w:lang w:val="en-US" w:eastAsia="zh-CN"/>
        </w:rPr>
        <w:t>十、</w:t>
      </w:r>
      <w:r>
        <w:rPr>
          <w:rFonts w:hint="eastAsia" w:ascii="黑体" w:hAnsi="黑体"/>
          <w:highlight w:val="none"/>
        </w:rPr>
        <w:t>联系方式</w:t>
      </w:r>
      <w:bookmarkEnd w:id="26"/>
    </w:p>
    <w:p>
      <w:pPr>
        <w:autoSpaceDE w:val="0"/>
        <w:spacing w:line="400" w:lineRule="exact"/>
        <w:ind w:firstLine="240" w:firstLineChars="100"/>
        <w:jc w:val="both"/>
        <w:rPr>
          <w:rFonts w:hint="default" w:ascii="宋体" w:hAnsi="宋体" w:eastAsia="宋体"/>
          <w:sz w:val="24"/>
          <w:highlight w:val="none"/>
          <w:lang w:val="en-US" w:eastAsia="zh-CN"/>
        </w:rPr>
      </w:pPr>
      <w:r>
        <w:rPr>
          <w:rFonts w:hint="eastAsia" w:ascii="宋体" w:hAnsi="宋体"/>
          <w:sz w:val="24"/>
          <w:highlight w:val="none"/>
        </w:rPr>
        <w:t>采 购 人: 湖南港产</w:t>
      </w:r>
      <w:r>
        <w:rPr>
          <w:rFonts w:hint="eastAsia" w:ascii="宋体" w:hAnsi="宋体"/>
          <w:sz w:val="24"/>
          <w:highlight w:val="none"/>
          <w:lang w:val="en-US" w:eastAsia="zh-CN"/>
        </w:rPr>
        <w:t>科技</w:t>
      </w:r>
      <w:r>
        <w:rPr>
          <w:rFonts w:hint="eastAsia" w:ascii="宋体" w:hAnsi="宋体"/>
          <w:sz w:val="24"/>
          <w:highlight w:val="none"/>
        </w:rPr>
        <w:t xml:space="preserve">有限公司         </w:t>
      </w:r>
      <w:r>
        <w:rPr>
          <w:rFonts w:hint="eastAsia" w:ascii="宋体" w:hAnsi="宋体"/>
          <w:sz w:val="24"/>
          <w:highlight w:val="none"/>
          <w:lang w:val="en-US" w:eastAsia="zh-CN"/>
        </w:rPr>
        <w:t xml:space="preserve">        </w:t>
      </w:r>
    </w:p>
    <w:p>
      <w:pPr>
        <w:autoSpaceDE w:val="0"/>
        <w:spacing w:line="400" w:lineRule="exact"/>
        <w:ind w:firstLine="240" w:firstLineChars="100"/>
        <w:jc w:val="both"/>
        <w:rPr>
          <w:rFonts w:hint="default" w:ascii="宋体" w:hAnsi="宋体" w:eastAsia="宋体"/>
          <w:sz w:val="24"/>
          <w:highlight w:val="none"/>
          <w:lang w:val="en-US" w:eastAsia="zh-CN"/>
        </w:rPr>
      </w:pPr>
      <w:r>
        <w:rPr>
          <w:rFonts w:hint="eastAsia" w:ascii="宋体" w:hAnsi="宋体"/>
          <w:sz w:val="24"/>
          <w:highlight w:val="none"/>
        </w:rPr>
        <w:t>地    址:</w:t>
      </w:r>
      <w:r>
        <w:rPr>
          <w:rFonts w:hint="eastAsia" w:ascii="宋体" w:hAnsi="宋体"/>
          <w:sz w:val="24"/>
          <w:highlight w:val="none"/>
          <w:lang w:val="en-US" w:eastAsia="zh-CN"/>
        </w:rPr>
        <w:t xml:space="preserve"> </w:t>
      </w:r>
      <w:r>
        <w:rPr>
          <w:rFonts w:hint="eastAsia" w:ascii="宋体" w:hAnsi="宋体" w:cs="宋体"/>
          <w:kern w:val="0"/>
          <w:sz w:val="24"/>
          <w:szCs w:val="24"/>
        </w:rPr>
        <w:t>岳阳市城陵矶长江路二号</w:t>
      </w:r>
      <w:r>
        <w:rPr>
          <w:rFonts w:hint="eastAsia" w:ascii="宋体" w:hAnsi="宋体" w:cs="宋体"/>
          <w:kern w:val="0"/>
          <w:sz w:val="24"/>
          <w:szCs w:val="24"/>
          <w:lang w:val="en-US" w:eastAsia="zh-CN"/>
        </w:rPr>
        <w:t xml:space="preserve">           </w:t>
      </w:r>
    </w:p>
    <w:p>
      <w:pPr>
        <w:autoSpaceDE w:val="0"/>
        <w:spacing w:line="400" w:lineRule="exact"/>
        <w:ind w:firstLine="240" w:firstLineChars="100"/>
        <w:jc w:val="both"/>
        <w:rPr>
          <w:rFonts w:hint="default" w:ascii="宋体" w:hAnsi="宋体" w:eastAsia="宋体"/>
          <w:sz w:val="24"/>
          <w:highlight w:val="none"/>
          <w:lang w:val="en-US" w:eastAsia="zh-CN"/>
        </w:rPr>
      </w:pPr>
      <w:r>
        <w:rPr>
          <w:rFonts w:hint="eastAsia" w:ascii="宋体" w:hAnsi="宋体"/>
          <w:sz w:val="24"/>
          <w:highlight w:val="none"/>
        </w:rPr>
        <w:t xml:space="preserve">邮政编码: 414000                         </w:t>
      </w:r>
      <w:r>
        <w:rPr>
          <w:rFonts w:hint="eastAsia" w:ascii="宋体" w:hAnsi="宋体"/>
          <w:sz w:val="24"/>
          <w:highlight w:val="none"/>
          <w:lang w:val="en-US" w:eastAsia="zh-CN"/>
        </w:rPr>
        <w:t xml:space="preserve">  </w:t>
      </w:r>
    </w:p>
    <w:p>
      <w:pPr>
        <w:autoSpaceDE w:val="0"/>
        <w:spacing w:line="400" w:lineRule="exact"/>
        <w:ind w:firstLine="240" w:firstLineChars="100"/>
        <w:jc w:val="both"/>
        <w:rPr>
          <w:rFonts w:hint="default" w:ascii="宋体" w:hAnsi="宋体" w:eastAsia="宋体"/>
          <w:sz w:val="24"/>
          <w:highlight w:val="none"/>
          <w:lang w:val="en-US" w:eastAsia="zh-CN"/>
        </w:rPr>
      </w:pPr>
      <w:r>
        <w:rPr>
          <w:rFonts w:hint="eastAsia" w:ascii="宋体" w:hAnsi="宋体"/>
          <w:sz w:val="24"/>
          <w:highlight w:val="none"/>
        </w:rPr>
        <w:t xml:space="preserve">联 系 人: </w:t>
      </w:r>
      <w:r>
        <w:rPr>
          <w:rFonts w:hint="eastAsia" w:ascii="宋体" w:hAnsi="宋体"/>
          <w:sz w:val="24"/>
          <w:highlight w:val="none"/>
          <w:lang w:val="en-US" w:eastAsia="zh-CN"/>
        </w:rPr>
        <w:t>彭钰文</w:t>
      </w:r>
      <w:r>
        <w:rPr>
          <w:rFonts w:hint="eastAsia" w:ascii="宋体" w:hAnsi="宋体"/>
          <w:sz w:val="24"/>
          <w:highlight w:val="none"/>
        </w:rPr>
        <w:t xml:space="preserve">                      </w:t>
      </w:r>
      <w:r>
        <w:rPr>
          <w:rFonts w:hint="eastAsia" w:ascii="宋体" w:hAnsi="宋体"/>
          <w:sz w:val="24"/>
          <w:highlight w:val="none"/>
          <w:lang w:val="en-US" w:eastAsia="zh-CN"/>
        </w:rPr>
        <w:t xml:space="preserve">     </w:t>
      </w:r>
    </w:p>
    <w:p>
      <w:pPr>
        <w:autoSpaceDE w:val="0"/>
        <w:spacing w:line="400" w:lineRule="exact"/>
        <w:ind w:firstLine="240" w:firstLineChars="100"/>
        <w:jc w:val="both"/>
        <w:rPr>
          <w:rFonts w:hint="eastAsia" w:ascii="宋体" w:hAnsi="宋体"/>
          <w:sz w:val="24"/>
          <w:highlight w:val="none"/>
        </w:rPr>
      </w:pPr>
      <w:r>
        <w:rPr>
          <w:rFonts w:hint="eastAsia" w:ascii="宋体" w:hAnsi="宋体"/>
          <w:sz w:val="24"/>
          <w:highlight w:val="none"/>
        </w:rPr>
        <w:t xml:space="preserve">电    话: </w:t>
      </w:r>
      <w:r>
        <w:rPr>
          <w:rFonts w:hint="eastAsia" w:ascii="宋体" w:hAnsi="宋体"/>
          <w:sz w:val="24"/>
          <w:highlight w:val="none"/>
          <w:lang w:val="en-US" w:eastAsia="zh-CN"/>
        </w:rPr>
        <w:t>15807210736</w:t>
      </w:r>
      <w:r>
        <w:rPr>
          <w:rFonts w:hint="eastAsia" w:ascii="宋体" w:hAnsi="宋体"/>
          <w:sz w:val="24"/>
          <w:highlight w:val="none"/>
        </w:rPr>
        <w:t xml:space="preserve">  </w:t>
      </w:r>
    </w:p>
    <w:p>
      <w:pPr>
        <w:pStyle w:val="5"/>
        <w:jc w:val="both"/>
        <w:outlineLvl w:val="1"/>
        <w:rPr>
          <w:rFonts w:hint="default"/>
          <w:highlight w:val="none"/>
          <w:lang w:val="en-US" w:eastAsia="zh-CN"/>
        </w:rPr>
      </w:pPr>
      <w:bookmarkStart w:id="27" w:name="_Toc29317"/>
      <w:r>
        <w:rPr>
          <w:rFonts w:hint="eastAsia"/>
          <w:highlight w:val="none"/>
          <w:lang w:val="en-US" w:eastAsia="zh-CN"/>
        </w:rPr>
        <w:t>十一、附件下载</w:t>
      </w:r>
      <w:bookmarkEnd w:id="27"/>
      <w:r>
        <w:rPr>
          <w:rFonts w:hint="eastAsia"/>
          <w:highlight w:val="none"/>
          <w:lang w:val="en-US" w:eastAsia="zh-CN"/>
        </w:rPr>
        <w:t xml:space="preserve">                    </w:t>
      </w:r>
    </w:p>
    <w:p>
      <w:r>
        <w:br w:type="page"/>
      </w:r>
    </w:p>
    <w:p>
      <w:pPr>
        <w:spacing w:line="600" w:lineRule="exact"/>
        <w:jc w:val="center"/>
        <w:outlineLvl w:val="0"/>
        <w:rPr>
          <w:rFonts w:ascii="黑体" w:hAnsi="黑体" w:eastAsia="黑体"/>
          <w:sz w:val="32"/>
          <w:szCs w:val="32"/>
          <w:highlight w:val="none"/>
        </w:rPr>
      </w:pPr>
      <w:bookmarkStart w:id="28" w:name="_Toc8532"/>
      <w:bookmarkStart w:id="29" w:name="_Toc10294"/>
      <w:bookmarkStart w:id="30" w:name="_Toc23032"/>
      <w:r>
        <w:rPr>
          <w:rFonts w:hint="eastAsia" w:ascii="黑体" w:hAnsi="黑体" w:eastAsia="黑体"/>
          <w:sz w:val="32"/>
          <w:szCs w:val="32"/>
          <w:highlight w:val="none"/>
        </w:rPr>
        <w:t>第二章  供应商须知</w:t>
      </w:r>
      <w:bookmarkEnd w:id="28"/>
      <w:bookmarkEnd w:id="29"/>
      <w:bookmarkEnd w:id="30"/>
    </w:p>
    <w:p>
      <w:pPr>
        <w:pStyle w:val="3"/>
        <w:spacing w:before="240" w:after="240" w:line="600" w:lineRule="exact"/>
        <w:jc w:val="both"/>
        <w:outlineLvl w:val="1"/>
        <w:rPr>
          <w:rFonts w:ascii="仿宋" w:hAnsi="仿宋" w:eastAsia="仿宋" w:cs="仿宋"/>
          <w:sz w:val="30"/>
          <w:szCs w:val="30"/>
          <w:highlight w:val="none"/>
        </w:rPr>
      </w:pPr>
      <w:bookmarkStart w:id="31" w:name="_Toc19912"/>
      <w:bookmarkStart w:id="32" w:name="_Toc517787495"/>
      <w:bookmarkStart w:id="33" w:name="_Toc12285"/>
      <w:bookmarkStart w:id="34" w:name="_Toc234832862"/>
      <w:bookmarkStart w:id="35" w:name="_Toc15534"/>
      <w:r>
        <w:rPr>
          <w:rFonts w:hint="eastAsia" w:ascii="仿宋" w:hAnsi="仿宋" w:eastAsia="仿宋" w:cs="仿宋"/>
          <w:sz w:val="30"/>
          <w:szCs w:val="30"/>
          <w:highlight w:val="none"/>
        </w:rPr>
        <w:t>供应商须知前附表</w:t>
      </w:r>
      <w:r>
        <w:rPr>
          <w:rStyle w:val="24"/>
          <w:rFonts w:hint="eastAsia" w:ascii="仿宋" w:hAnsi="仿宋" w:eastAsia="仿宋" w:cs="仿宋"/>
          <w:sz w:val="30"/>
          <w:szCs w:val="30"/>
          <w:highlight w:val="none"/>
        </w:rPr>
        <w:footnoteReference w:id="0"/>
      </w:r>
      <w:bookmarkEnd w:id="31"/>
      <w:bookmarkEnd w:id="32"/>
      <w:bookmarkEnd w:id="33"/>
      <w:bookmarkEnd w:id="34"/>
      <w:bookmarkEnd w:id="35"/>
    </w:p>
    <w:tbl>
      <w:tblPr>
        <w:tblStyle w:val="19"/>
        <w:tblW w:w="9018" w:type="dxa"/>
        <w:tblInd w:w="-278" w:type="dxa"/>
        <w:tblLayout w:type="fixed"/>
        <w:tblCellMar>
          <w:top w:w="0" w:type="dxa"/>
          <w:left w:w="108" w:type="dxa"/>
          <w:bottom w:w="0" w:type="dxa"/>
          <w:right w:w="108" w:type="dxa"/>
        </w:tblCellMar>
      </w:tblPr>
      <w:tblGrid>
        <w:gridCol w:w="1526"/>
        <w:gridCol w:w="2743"/>
        <w:gridCol w:w="4749"/>
      </w:tblGrid>
      <w:tr>
        <w:tblPrEx>
          <w:tblCellMar>
            <w:top w:w="0" w:type="dxa"/>
            <w:left w:w="108" w:type="dxa"/>
            <w:bottom w:w="0" w:type="dxa"/>
            <w:right w:w="108" w:type="dxa"/>
          </w:tblCellMar>
        </w:tblPrEx>
        <w:trPr>
          <w:trHeight w:val="387" w:hRule="atLeast"/>
          <w:tblHeader/>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条款号</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条  款  名  称</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编  列  内  容</w:t>
            </w:r>
          </w:p>
        </w:tc>
      </w:tr>
      <w:tr>
        <w:tblPrEx>
          <w:tblCellMar>
            <w:top w:w="0" w:type="dxa"/>
            <w:left w:w="108" w:type="dxa"/>
            <w:bottom w:w="0" w:type="dxa"/>
            <w:right w:w="108" w:type="dxa"/>
          </w:tblCellMar>
        </w:tblPrEx>
        <w:trPr>
          <w:trHeight w:val="459" w:hRule="atLeast"/>
        </w:trPr>
        <w:tc>
          <w:tcPr>
            <w:tcW w:w="152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1.1.1</w:t>
            </w:r>
          </w:p>
        </w:tc>
        <w:tc>
          <w:tcPr>
            <w:tcW w:w="274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采购方法</w:t>
            </w:r>
          </w:p>
        </w:tc>
        <w:tc>
          <w:tcPr>
            <w:tcW w:w="474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询价</w:t>
            </w:r>
          </w:p>
        </w:tc>
      </w:tr>
      <w:tr>
        <w:tblPrEx>
          <w:tblCellMar>
            <w:top w:w="0" w:type="dxa"/>
            <w:left w:w="108" w:type="dxa"/>
            <w:bottom w:w="0" w:type="dxa"/>
            <w:right w:w="108" w:type="dxa"/>
          </w:tblCellMar>
        </w:tblPrEx>
        <w:trPr>
          <w:trHeight w:val="568" w:hRule="atLeast"/>
        </w:trPr>
        <w:tc>
          <w:tcPr>
            <w:tcW w:w="152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1.1.2</w:t>
            </w:r>
          </w:p>
        </w:tc>
        <w:tc>
          <w:tcPr>
            <w:tcW w:w="274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评审办法</w:t>
            </w:r>
          </w:p>
        </w:tc>
        <w:tc>
          <w:tcPr>
            <w:tcW w:w="474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最低价法</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1.7.1</w:t>
            </w:r>
          </w:p>
        </w:tc>
        <w:tc>
          <w:tcPr>
            <w:tcW w:w="274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踏勘现场</w:t>
            </w:r>
          </w:p>
        </w:tc>
        <w:tc>
          <w:tcPr>
            <w:tcW w:w="474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不组织</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1.8</w:t>
            </w:r>
          </w:p>
        </w:tc>
        <w:tc>
          <w:tcPr>
            <w:tcW w:w="274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采购预备会</w:t>
            </w:r>
          </w:p>
        </w:tc>
        <w:tc>
          <w:tcPr>
            <w:tcW w:w="474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不召开</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1.9</w:t>
            </w:r>
          </w:p>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（A、C）</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分包</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不得分包的内容：</w:t>
            </w:r>
            <w:r>
              <w:rPr>
                <w:rFonts w:hint="eastAsia" w:cs="仿宋" w:asciiTheme="minorEastAsia" w:hAnsiTheme="minorEastAsia" w:eastAsiaTheme="minorEastAsia"/>
                <w:sz w:val="24"/>
                <w:highlight w:val="none"/>
                <w:u w:val="single"/>
              </w:rPr>
              <w:t>不允许分包</w:t>
            </w:r>
          </w:p>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对分包供应商的要求：</w:t>
            </w:r>
            <w:r>
              <w:rPr>
                <w:rFonts w:hint="eastAsia" w:cs="仿宋" w:asciiTheme="minorEastAsia" w:hAnsiTheme="minorEastAsia" w:eastAsiaTheme="minorEastAsia"/>
                <w:sz w:val="24"/>
                <w:highlight w:val="none"/>
                <w:u w:val="single"/>
              </w:rPr>
              <w:t>不允许分包</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1.10.2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对非关键条款的偏差</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允许偏差的范围：细微偏差</w:t>
            </w:r>
          </w:p>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允许偏差的项数：</w:t>
            </w:r>
            <w:r>
              <w:rPr>
                <w:rFonts w:hint="eastAsia" w:cs="仿宋" w:asciiTheme="minorEastAsia" w:hAnsiTheme="minorEastAsia" w:eastAsiaTheme="minorEastAsia"/>
                <w:sz w:val="24"/>
                <w:highlight w:val="none"/>
                <w:u w:val="single"/>
              </w:rPr>
              <w:t>2项</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2.1(7)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构成采购文件的其他资料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资料名称：</w:t>
            </w:r>
            <w:r>
              <w:rPr>
                <w:rFonts w:hint="eastAsia" w:cs="仿宋" w:asciiTheme="minorEastAsia" w:hAnsiTheme="minorEastAsia" w:eastAsiaTheme="minorEastAsia"/>
                <w:sz w:val="24"/>
                <w:highlight w:val="none"/>
                <w:lang w:val="en-US" w:eastAsia="zh-CN"/>
              </w:rPr>
              <w:t>无</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3.1.1（9）</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构成响应文件的其他资料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资料名称：</w:t>
            </w:r>
            <w:r>
              <w:rPr>
                <w:rFonts w:hint="eastAsia" w:cs="仿宋" w:asciiTheme="minorEastAsia" w:hAnsiTheme="minorEastAsia" w:eastAsiaTheme="minorEastAsia"/>
                <w:sz w:val="24"/>
                <w:highlight w:val="none"/>
                <w:lang w:val="en-US" w:eastAsia="zh-CN"/>
              </w:rPr>
              <w:t>施工方案</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采购标的数量增减幅度</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采购标的数量增减幅度：10%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3.2.3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最高限价或其计算方法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ascii="宋体" w:hAnsi="宋体" w:cs="宋体"/>
                <w:sz w:val="24"/>
                <w:highlight w:val="none"/>
              </w:rPr>
              <w:sym w:font="Wingdings 2" w:char="0052"/>
            </w:r>
            <w:r>
              <w:rPr>
                <w:rFonts w:hint="eastAsia" w:ascii="宋体" w:hAnsi="宋体" w:cs="宋体"/>
                <w:sz w:val="24"/>
                <w:highlight w:val="none"/>
              </w:rPr>
              <w:t>有，最高限价：</w:t>
            </w:r>
            <w:r>
              <w:rPr>
                <w:rFonts w:hint="eastAsia" w:ascii="宋体" w:hAnsi="宋体" w:cs="宋体"/>
                <w:sz w:val="24"/>
                <w:highlight w:val="none"/>
                <w:lang w:val="en-US" w:eastAsia="zh-CN"/>
              </w:rPr>
              <w:t>壹拾壹万元</w:t>
            </w:r>
            <w:r>
              <w:rPr>
                <w:rFonts w:hint="eastAsia" w:ascii="宋体" w:hAnsi="宋体" w:cs="宋体"/>
                <w:sz w:val="24"/>
                <w:highlight w:val="none"/>
              </w:rPr>
              <w:t>整（小写：¥</w:t>
            </w:r>
            <w:r>
              <w:rPr>
                <w:rFonts w:hint="eastAsia" w:ascii="宋体" w:hAnsi="宋体" w:cs="宋体"/>
                <w:sz w:val="24"/>
                <w:highlight w:val="none"/>
                <w:lang w:val="en-US" w:eastAsia="zh-CN"/>
              </w:rPr>
              <w:t>110000</w:t>
            </w:r>
            <w:r>
              <w:rPr>
                <w:rFonts w:hint="eastAsia" w:ascii="宋体" w:hAnsi="宋体" w:cs="宋体"/>
                <w:sz w:val="24"/>
                <w:highlight w:val="none"/>
              </w:rPr>
              <w:t>）</w:t>
            </w:r>
            <w:r>
              <w:rPr>
                <w:rFonts w:hint="eastAsia" w:ascii="宋体" w:hAnsi="宋体" w:cs="宋体"/>
                <w:sz w:val="24"/>
                <w:highlight w:val="none"/>
                <w:lang w:val="en-US" w:eastAsia="zh-CN"/>
              </w:rPr>
              <w:t>含9%增值税</w:t>
            </w:r>
            <w:r>
              <w:rPr>
                <w:rFonts w:hint="eastAsia" w:ascii="宋体" w:hAnsi="宋体" w:cs="宋体"/>
                <w:sz w:val="24"/>
                <w:highlight w:val="none"/>
              </w:rPr>
              <w:t xml:space="preserve">  </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90"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3.2.4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报价的其他要求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此报价应包含</w:t>
            </w:r>
            <w:r>
              <w:rPr>
                <w:rFonts w:hint="eastAsia" w:cs="仿宋" w:asciiTheme="minorEastAsia" w:hAnsiTheme="minorEastAsia" w:eastAsiaTheme="minorEastAsia"/>
                <w:sz w:val="24"/>
                <w:highlight w:val="none"/>
                <w:lang w:val="en-US" w:eastAsia="zh-CN"/>
              </w:rPr>
              <w:t>9%增值税，本项目采取清单报价</w:t>
            </w:r>
            <w:r>
              <w:rPr>
                <w:rFonts w:hint="eastAsia" w:cs="仿宋" w:asciiTheme="minorEastAsia" w:hAnsiTheme="minorEastAsia" w:eastAsiaTheme="minorEastAsia"/>
                <w:sz w:val="24"/>
                <w:highlight w:val="none"/>
                <w:lang w:eastAsia="zh-CN"/>
              </w:rPr>
              <w:t>，</w:t>
            </w:r>
            <w:r>
              <w:rPr>
                <w:rFonts w:hint="eastAsia" w:cs="仿宋" w:asciiTheme="minorEastAsia" w:hAnsiTheme="minorEastAsia" w:eastAsiaTheme="minorEastAsia"/>
                <w:sz w:val="24"/>
                <w:highlight w:val="none"/>
                <w:lang w:val="en-US" w:eastAsia="zh-CN"/>
              </w:rPr>
              <w:t>按实结算。</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3.3.1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响应文件有效期</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递交响应文件截止之日起90日                                        </w:t>
            </w:r>
          </w:p>
        </w:tc>
      </w:tr>
      <w:tr>
        <w:tblPrEx>
          <w:tblCellMar>
            <w:top w:w="0" w:type="dxa"/>
            <w:left w:w="108" w:type="dxa"/>
            <w:bottom w:w="0" w:type="dxa"/>
            <w:right w:w="108" w:type="dxa"/>
          </w:tblCellMar>
        </w:tblPrEx>
        <w:trPr>
          <w:trHeight w:val="433"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3.4.1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响应保证金</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 xml:space="preserve">不要求递交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3.4.2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退还响应保证金的时间</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无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3.4.3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不退还响应保证金的其他情形</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无                                                             </w:t>
            </w:r>
          </w:p>
        </w:tc>
      </w:tr>
      <w:tr>
        <w:tblPrEx>
          <w:tblCellMar>
            <w:top w:w="0" w:type="dxa"/>
            <w:left w:w="108" w:type="dxa"/>
            <w:bottom w:w="0" w:type="dxa"/>
            <w:right w:w="108" w:type="dxa"/>
          </w:tblCellMar>
        </w:tblPrEx>
        <w:trPr>
          <w:trHeight w:val="116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3.5（1）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22"/>
                <w:rFonts w:asciiTheme="minorEastAsia" w:hAnsiTheme="minorEastAsia" w:eastAsiaTheme="minorEastAsia"/>
                <w:b w:val="0"/>
                <w:color w:val="000000"/>
                <w:sz w:val="24"/>
                <w:highlight w:val="none"/>
              </w:rPr>
            </w:pPr>
            <w:r>
              <w:rPr>
                <w:rStyle w:val="22"/>
                <w:rFonts w:hint="eastAsia" w:asciiTheme="minorEastAsia" w:hAnsiTheme="minorEastAsia" w:eastAsiaTheme="minorEastAsia"/>
                <w:b w:val="0"/>
                <w:color w:val="000000"/>
                <w:sz w:val="24"/>
                <w:highlight w:val="none"/>
              </w:rPr>
              <w:t>依法设立的证明材料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asciiTheme="minorEastAsia" w:hAnsiTheme="minorEastAsia" w:eastAsiaTheme="minorEastAsia"/>
                <w:color w:val="000000"/>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适用。</w:t>
            </w:r>
            <w:r>
              <w:rPr>
                <w:rFonts w:hint="eastAsia" w:asciiTheme="minorEastAsia" w:hAnsiTheme="minorEastAsia" w:eastAsiaTheme="minorEastAsia"/>
                <w:color w:val="000000"/>
                <w:sz w:val="24"/>
              </w:rPr>
              <w:t>供应商应提供市场监管部门或其他行政机关颁发的可以合法开展业务的执照或证书。</w:t>
            </w:r>
          </w:p>
        </w:tc>
      </w:tr>
      <w:tr>
        <w:tblPrEx>
          <w:tblCellMar>
            <w:top w:w="0" w:type="dxa"/>
            <w:left w:w="108" w:type="dxa"/>
            <w:bottom w:w="0" w:type="dxa"/>
            <w:right w:w="108" w:type="dxa"/>
          </w:tblCellMar>
        </w:tblPrEx>
        <w:trPr>
          <w:trHeight w:val="139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3.5（2）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Style w:val="22"/>
                <w:rFonts w:hint="eastAsia" w:asciiTheme="minorEastAsia" w:hAnsiTheme="minorEastAsia" w:eastAsiaTheme="minorEastAsia"/>
                <w:b w:val="0"/>
                <w:color w:val="000000"/>
                <w:sz w:val="24"/>
                <w:highlight w:val="none"/>
              </w:rPr>
              <w:t>资质要求证明材料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适用。供应商应提供相关资质证书副本的复印件，以证明供应商具有承担本项目要求的资质。</w:t>
            </w:r>
          </w:p>
          <w:p>
            <w:pPr>
              <w:spacing w:line="288" w:lineRule="auto"/>
              <w:jc w:val="both"/>
              <w:rPr>
                <w:rFonts w:hint="default" w:cs="宋体" w:asciiTheme="minorEastAsia" w:hAnsiTheme="minorEastAsia" w:eastAsiaTheme="minorEastAsia"/>
                <w:color w:val="000000"/>
                <w:sz w:val="24"/>
                <w:highlight w:val="none"/>
                <w:lang w:val="en-US"/>
              </w:rPr>
            </w:pPr>
            <w:r>
              <w:rPr>
                <w:rFonts w:hint="eastAsia" w:cs="宋体" w:asciiTheme="minorEastAsia" w:hAnsiTheme="minorEastAsia" w:eastAsiaTheme="minorEastAsia"/>
                <w:color w:val="000000"/>
                <w:sz w:val="24"/>
                <w:highlight w:val="none"/>
              </w:rPr>
              <w:t>资质证书包括：</w:t>
            </w:r>
            <w:r>
              <w:rPr>
                <w:rFonts w:hint="eastAsia" w:cs="宋体" w:asciiTheme="minorEastAsia" w:hAnsiTheme="minorEastAsia" w:eastAsiaTheme="minorEastAsia"/>
                <w:color w:val="000000"/>
                <w:sz w:val="24"/>
                <w:highlight w:val="none"/>
                <w:lang w:val="en-US" w:eastAsia="zh-CN"/>
              </w:rPr>
              <w:t>建筑装修装饰工程专业承包资质贰级或以上</w:t>
            </w:r>
          </w:p>
        </w:tc>
      </w:tr>
      <w:tr>
        <w:tblPrEx>
          <w:tblCellMar>
            <w:top w:w="0" w:type="dxa"/>
            <w:left w:w="108" w:type="dxa"/>
            <w:bottom w:w="0" w:type="dxa"/>
            <w:right w:w="108" w:type="dxa"/>
          </w:tblCellMar>
        </w:tblPrEx>
        <w:trPr>
          <w:trHeight w:val="1172"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3.5（3）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22"/>
                <w:rFonts w:asciiTheme="minorEastAsia" w:hAnsiTheme="minorEastAsia" w:eastAsiaTheme="minorEastAsia"/>
                <w:b w:val="0"/>
                <w:color w:val="000000"/>
                <w:sz w:val="24"/>
                <w:highlight w:val="none"/>
              </w:rPr>
            </w:pPr>
            <w:r>
              <w:rPr>
                <w:rStyle w:val="22"/>
                <w:rFonts w:hint="eastAsia" w:asciiTheme="minorEastAsia" w:hAnsiTheme="minorEastAsia" w:eastAsiaTheme="minorEastAsia"/>
                <w:b w:val="0"/>
                <w:color w:val="000000"/>
                <w:sz w:val="24"/>
                <w:highlight w:val="none"/>
              </w:rPr>
              <w:t>财务要求证明材料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center"/>
              <w:rPr>
                <w:rFonts w:hint="eastAsia" w:ascii="宋体" w:hAnsi="宋体" w:cs="宋体"/>
                <w:color w:val="000000"/>
                <w:sz w:val="24"/>
                <w:highlight w:val="none"/>
              </w:rPr>
            </w:pPr>
          </w:p>
          <w:p>
            <w:pPr>
              <w:spacing w:line="288" w:lineRule="auto"/>
              <w:jc w:val="center"/>
              <w:rPr>
                <w:rFonts w:hint="eastAsia" w:asciiTheme="minorEastAsia" w:hAnsiTheme="minorEastAsia" w:eastAsiaTheme="minorEastAsia"/>
                <w:color w:val="000000"/>
                <w:sz w:val="24"/>
                <w:highlight w:val="none"/>
                <w:lang w:val="en-US" w:eastAsia="zh-CN"/>
              </w:rPr>
            </w:pPr>
            <w:r>
              <w:rPr>
                <w:rFonts w:hint="eastAsia" w:ascii="宋体" w:hAnsi="宋体" w:cs="宋体"/>
                <w:color w:val="000000"/>
                <w:sz w:val="24"/>
                <w:highlight w:val="none"/>
              </w:rPr>
              <w:sym w:font="Wingdings 2" w:char="0052"/>
            </w:r>
            <w:r>
              <w:rPr>
                <w:rFonts w:hint="eastAsia" w:ascii="宋体" w:hAnsi="宋体" w:cs="宋体"/>
                <w:color w:val="000000"/>
                <w:sz w:val="24"/>
                <w:highlight w:val="none"/>
              </w:rPr>
              <w:t>不适用</w:t>
            </w:r>
          </w:p>
        </w:tc>
      </w:tr>
      <w:tr>
        <w:tblPrEx>
          <w:tblCellMar>
            <w:top w:w="0" w:type="dxa"/>
            <w:left w:w="108" w:type="dxa"/>
            <w:bottom w:w="0" w:type="dxa"/>
            <w:right w:w="108" w:type="dxa"/>
          </w:tblCellMar>
        </w:tblPrEx>
        <w:trPr>
          <w:trHeight w:val="435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业绩要求证明材料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sz w:val="24"/>
                <w:highlight w:val="none"/>
                <w:u w:val="single"/>
                <w:lang w:val="en-US" w:eastAsia="zh-CN"/>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适用。供应商应提供近年</w:t>
            </w:r>
            <w:r>
              <w:rPr>
                <w:rFonts w:hint="eastAsia" w:cs="宋体" w:asciiTheme="minorEastAsia" w:hAnsiTheme="minorEastAsia" w:eastAsiaTheme="minorEastAsia"/>
                <w:sz w:val="24"/>
                <w:highlight w:val="none"/>
                <w:lang w:val="en-US" w:eastAsia="zh-CN"/>
              </w:rPr>
              <w:t>类似</w:t>
            </w:r>
            <w:r>
              <w:rPr>
                <w:rFonts w:hint="eastAsia" w:cs="宋体" w:asciiTheme="minorEastAsia" w:hAnsiTheme="minorEastAsia" w:eastAsiaTheme="minorEastAsia"/>
                <w:sz w:val="24"/>
                <w:highlight w:val="none"/>
              </w:rPr>
              <w:t>项目情况表（格式见第六章“响应文件格式”七、资格审查资料（三）近年的类似项目情况表），以证明供应商具有承担本项目要求的业绩。近年是指</w:t>
            </w:r>
            <w:r>
              <w:rPr>
                <w:rFonts w:hint="eastAsia" w:cs="宋体" w:asciiTheme="minorEastAsia" w:hAnsiTheme="minorEastAsia" w:eastAsiaTheme="minorEastAsia"/>
                <w:sz w:val="24"/>
                <w:highlight w:val="none"/>
                <w:u w:val="single"/>
              </w:rPr>
              <w:t>2019年</w:t>
            </w:r>
            <w:r>
              <w:rPr>
                <w:rFonts w:hint="eastAsia" w:cs="宋体" w:asciiTheme="minorEastAsia" w:hAnsiTheme="minorEastAsia" w:eastAsiaTheme="minorEastAsia"/>
                <w:sz w:val="24"/>
                <w:highlight w:val="none"/>
                <w:u w:val="single"/>
                <w:lang w:val="en-US" w:eastAsia="zh-CN"/>
              </w:rPr>
              <w:t>12</w:t>
            </w:r>
            <w:r>
              <w:rPr>
                <w:rFonts w:hint="eastAsia" w:cs="宋体" w:asciiTheme="minorEastAsia" w:hAnsiTheme="minorEastAsia" w:eastAsiaTheme="minorEastAsia"/>
                <w:sz w:val="24"/>
                <w:highlight w:val="none"/>
                <w:u w:val="single"/>
              </w:rPr>
              <w:t>月</w:t>
            </w:r>
            <w:r>
              <w:rPr>
                <w:rFonts w:hint="eastAsia" w:cs="宋体" w:asciiTheme="minorEastAsia" w:hAnsiTheme="minorEastAsia" w:eastAsiaTheme="minorEastAsia"/>
                <w:sz w:val="24"/>
                <w:highlight w:val="none"/>
                <w:u w:val="single"/>
                <w:lang w:val="en-US" w:eastAsia="zh-CN"/>
              </w:rPr>
              <w:t>2日</w:t>
            </w:r>
            <w:bookmarkStart w:id="150" w:name="_GoBack"/>
            <w:bookmarkEnd w:id="150"/>
            <w:r>
              <w:rPr>
                <w:rFonts w:hint="eastAsia" w:cs="宋体" w:asciiTheme="minorEastAsia" w:hAnsiTheme="minorEastAsia" w:eastAsiaTheme="minorEastAsia"/>
                <w:sz w:val="24"/>
                <w:highlight w:val="none"/>
              </w:rPr>
              <w:t>至</w:t>
            </w:r>
            <w:r>
              <w:rPr>
                <w:rFonts w:cs="宋体" w:asciiTheme="minorEastAsia" w:hAnsiTheme="minorEastAsia" w:eastAsiaTheme="minorEastAsia"/>
                <w:sz w:val="24"/>
                <w:highlight w:val="none"/>
                <w:u w:val="single"/>
              </w:rPr>
              <w:t>202</w:t>
            </w:r>
            <w:r>
              <w:rPr>
                <w:rFonts w:hint="eastAsia" w:cs="宋体" w:asciiTheme="minorEastAsia" w:hAnsiTheme="minorEastAsia" w:eastAsiaTheme="minorEastAsia"/>
                <w:sz w:val="24"/>
                <w:highlight w:val="none"/>
                <w:u w:val="single"/>
              </w:rPr>
              <w:t>2年</w:t>
            </w:r>
            <w:r>
              <w:rPr>
                <w:rFonts w:hint="eastAsia" w:cs="宋体" w:asciiTheme="minorEastAsia" w:hAnsiTheme="minorEastAsia" w:eastAsiaTheme="minorEastAsia"/>
                <w:sz w:val="24"/>
                <w:highlight w:val="none"/>
                <w:u w:val="single"/>
                <w:lang w:val="en-US" w:eastAsia="zh-CN"/>
              </w:rPr>
              <w:t>12</w:t>
            </w:r>
            <w:r>
              <w:rPr>
                <w:rFonts w:hint="eastAsia" w:cs="宋体" w:asciiTheme="minorEastAsia" w:hAnsiTheme="minorEastAsia" w:eastAsiaTheme="minorEastAsia"/>
                <w:sz w:val="24"/>
                <w:highlight w:val="none"/>
                <w:u w:val="single"/>
              </w:rPr>
              <w:t>月</w:t>
            </w:r>
            <w:r>
              <w:rPr>
                <w:rFonts w:hint="eastAsia" w:cs="宋体" w:asciiTheme="minorEastAsia" w:hAnsiTheme="minorEastAsia" w:eastAsiaTheme="minorEastAsia"/>
                <w:sz w:val="24"/>
                <w:highlight w:val="none"/>
                <w:u w:val="single"/>
                <w:lang w:val="en-US" w:eastAsia="zh-CN"/>
              </w:rPr>
              <w:t>2</w:t>
            </w: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业绩证明材料：</w:t>
            </w:r>
          </w:p>
          <w:p>
            <w:pPr>
              <w:spacing w:line="288" w:lineRule="auto"/>
              <w:jc w:val="both"/>
              <w:rPr>
                <w:rFonts w:hint="default" w:cs="宋体" w:asciiTheme="minorEastAsia" w:hAnsiTheme="minorEastAsia" w:eastAsiaTheme="minorEastAsia"/>
                <w:sz w:val="24"/>
                <w:highlight w:val="none"/>
                <w:lang w:val="en-US" w:eastAsia="zh-CN"/>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合同/订单</w:t>
            </w: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业绩证明材料种类要求：</w:t>
            </w:r>
          </w:p>
          <w:p>
            <w:pPr>
              <w:spacing w:line="288" w:lineRule="auto"/>
              <w:jc w:val="both"/>
              <w:rPr>
                <w:rFonts w:cs="仿宋" w:asciiTheme="minorEastAsia" w:hAnsiTheme="minorEastAsia" w:eastAsiaTheme="minorEastAsia"/>
                <w:sz w:val="24"/>
                <w:highlight w:val="none"/>
              </w:rPr>
            </w:pPr>
            <w:r>
              <w:rPr>
                <w:rFonts w:hint="eastAsia" w:cs="宋体" w:asciiTheme="minorEastAsia" w:hAnsiTheme="minorEastAsia" w:eastAsiaTheme="minorEastAsia"/>
                <w:sz w:val="24"/>
                <w:highlight w:val="none"/>
              </w:rPr>
              <w:t>☑其他要求：</w:t>
            </w:r>
            <w:r>
              <w:rPr>
                <w:rFonts w:hint="eastAsia" w:cs="宋体" w:asciiTheme="minorEastAsia" w:hAnsiTheme="minorEastAsia" w:eastAsiaTheme="minorEastAsia"/>
                <w:sz w:val="24"/>
                <w:highlight w:val="none"/>
                <w:u w:val="single"/>
              </w:rPr>
              <w:t xml:space="preserve"> 至少提供</w:t>
            </w:r>
            <w:r>
              <w:rPr>
                <w:rFonts w:hint="eastAsia" w:cs="宋体" w:asciiTheme="minorEastAsia" w:hAnsiTheme="minorEastAsia" w:eastAsiaTheme="minorEastAsia"/>
                <w:sz w:val="24"/>
                <w:highlight w:val="none"/>
                <w:u w:val="single"/>
                <w:lang w:val="en-US" w:eastAsia="zh-CN"/>
              </w:rPr>
              <w:t>1</w:t>
            </w:r>
            <w:r>
              <w:rPr>
                <w:rFonts w:hint="eastAsia" w:cs="宋体" w:asciiTheme="minorEastAsia" w:hAnsiTheme="minorEastAsia" w:eastAsiaTheme="minorEastAsia"/>
                <w:sz w:val="24"/>
                <w:highlight w:val="none"/>
                <w:u w:val="single"/>
              </w:rPr>
              <w:t>份业绩证明材料，提供复印件并加盖单位公章。</w:t>
            </w:r>
            <w:r>
              <w:rPr>
                <w:rFonts w:hint="eastAsia" w:cs="宋体"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信誉要求证明材料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ind w:firstLine="1680" w:firstLineChars="700"/>
              <w:jc w:val="both"/>
              <w:rPr>
                <w:rFonts w:cs="仿宋" w:asciiTheme="minorEastAsia" w:hAnsiTheme="minorEastAsia" w:eastAsiaTheme="minorEastAsia"/>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不适用</w:t>
            </w:r>
          </w:p>
        </w:tc>
      </w:tr>
      <w:tr>
        <w:tblPrEx>
          <w:tblCellMar>
            <w:top w:w="0" w:type="dxa"/>
            <w:left w:w="108" w:type="dxa"/>
            <w:bottom w:w="0" w:type="dxa"/>
            <w:right w:w="108" w:type="dxa"/>
          </w:tblCellMar>
        </w:tblPrEx>
        <w:trPr>
          <w:trHeight w:val="98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3.5（6）</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承担本项目的主要人员要求证明材料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b w:val="0"/>
                <w:bCs w:val="0"/>
                <w:color w:val="auto"/>
                <w:sz w:val="24"/>
                <w:highlight w:val="none"/>
                <w:u w:val="none"/>
              </w:rPr>
            </w:pPr>
            <w:r>
              <w:rPr>
                <w:rFonts w:hint="eastAsia" w:cs="宋体" w:asciiTheme="minorEastAsia" w:hAnsiTheme="minorEastAsia" w:eastAsiaTheme="minorEastAsia"/>
                <w:color w:val="auto"/>
                <w:sz w:val="24"/>
                <w:highlight w:val="none"/>
                <w:u w:val="none"/>
              </w:rPr>
              <w:sym w:font="Wingdings 2" w:char="0052"/>
            </w:r>
            <w:r>
              <w:rPr>
                <w:rFonts w:hint="eastAsia" w:cs="宋体" w:asciiTheme="minorEastAsia" w:hAnsiTheme="minorEastAsia" w:eastAsiaTheme="minorEastAsia"/>
                <w:color w:val="auto"/>
                <w:sz w:val="24"/>
                <w:highlight w:val="none"/>
                <w:u w:val="none"/>
              </w:rPr>
              <w:t>适用。</w:t>
            </w:r>
            <w:r>
              <w:rPr>
                <w:rFonts w:hint="eastAsia" w:cs="宋体" w:asciiTheme="minorEastAsia" w:hAnsiTheme="minorEastAsia" w:eastAsiaTheme="minorEastAsia"/>
                <w:b w:val="0"/>
                <w:bCs w:val="0"/>
                <w:color w:val="auto"/>
                <w:sz w:val="24"/>
                <w:highlight w:val="none"/>
                <w:u w:val="none"/>
              </w:rPr>
              <w:t>供应商应提供拟委任的主要人员汇总表和主要人员简历表（格式见第六章“响应文件格式”七、资格审查资料（四）拟委任的主要人员汇总表和（五）主要人员简历表）</w:t>
            </w:r>
            <w:r>
              <w:rPr>
                <w:rFonts w:hint="eastAsia" w:cs="宋体" w:asciiTheme="minorEastAsia" w:hAnsiTheme="minorEastAsia" w:eastAsiaTheme="minorEastAsia"/>
                <w:color w:val="auto"/>
                <w:sz w:val="24"/>
                <w:highlight w:val="none"/>
                <w:u w:val="none"/>
              </w:rPr>
              <w:t>。</w:t>
            </w:r>
            <w:r>
              <w:rPr>
                <w:rFonts w:hint="eastAsia" w:cs="宋体" w:asciiTheme="minorEastAsia" w:hAnsiTheme="minorEastAsia" w:eastAsiaTheme="minorEastAsia"/>
                <w:b w:val="0"/>
                <w:bCs w:val="0"/>
                <w:color w:val="auto"/>
                <w:sz w:val="24"/>
                <w:highlight w:val="none"/>
                <w:u w:val="none"/>
              </w:rPr>
              <w:t xml:space="preserve">供应商应提供相关证明文件： </w:t>
            </w:r>
          </w:p>
          <w:p>
            <w:pPr>
              <w:spacing w:line="288" w:lineRule="auto"/>
              <w:ind w:firstLine="480" w:firstLineChars="200"/>
              <w:jc w:val="both"/>
              <w:rPr>
                <w:rFonts w:hint="eastAsia" w:cs="宋体" w:asciiTheme="minorEastAsia" w:hAnsiTheme="minorEastAsia" w:eastAsiaTheme="minorEastAsia"/>
                <w:b w:val="0"/>
                <w:bCs w:val="0"/>
                <w:sz w:val="24"/>
                <w:highlight w:val="none"/>
                <w:u w:val="none"/>
                <w:lang w:val="en-US" w:eastAsia="zh-CN"/>
              </w:rPr>
            </w:pPr>
            <w:r>
              <w:rPr>
                <w:rFonts w:hint="eastAsia" w:cs="宋体" w:asciiTheme="minorEastAsia" w:hAnsiTheme="minorEastAsia" w:eastAsiaTheme="minorEastAsia"/>
                <w:b w:val="0"/>
                <w:bCs w:val="0"/>
                <w:color w:val="auto"/>
                <w:sz w:val="24"/>
                <w:highlight w:val="none"/>
                <w:u w:val="none"/>
                <w:lang w:val="en-US" w:eastAsia="zh-CN"/>
              </w:rPr>
              <w:t>项目负责人</w:t>
            </w:r>
            <w:r>
              <w:rPr>
                <w:rFonts w:hint="eastAsia" w:cs="宋体" w:asciiTheme="minorEastAsia" w:hAnsiTheme="minorEastAsia" w:eastAsiaTheme="minorEastAsia"/>
                <w:b w:val="0"/>
                <w:bCs w:val="0"/>
                <w:sz w:val="24"/>
                <w:highlight w:val="none"/>
                <w:u w:val="none"/>
                <w:lang w:val="en-US" w:eastAsia="zh-CN"/>
              </w:rPr>
              <w:t>1人：须</w:t>
            </w:r>
            <w:r>
              <w:rPr>
                <w:rFonts w:hint="eastAsia" w:cs="宋体" w:asciiTheme="minorEastAsia" w:hAnsiTheme="minorEastAsia" w:eastAsiaTheme="minorEastAsia"/>
                <w:b w:val="0"/>
                <w:bCs w:val="0"/>
                <w:color w:val="auto"/>
                <w:sz w:val="24"/>
                <w:highlight w:val="none"/>
                <w:u w:val="none"/>
                <w:lang w:val="en-US" w:eastAsia="zh-CN"/>
              </w:rPr>
              <w:t>具有工程管理工作经验3年以上，具有工程类中级或以上职称、具有二级或一级建造师证</w:t>
            </w:r>
            <w:r>
              <w:rPr>
                <w:rFonts w:hint="eastAsia" w:cs="宋体" w:asciiTheme="minorEastAsia" w:hAnsiTheme="minorEastAsia" w:eastAsiaTheme="minorEastAsia"/>
                <w:b w:val="0"/>
                <w:bCs w:val="0"/>
                <w:sz w:val="24"/>
                <w:highlight w:val="none"/>
                <w:u w:val="none"/>
                <w:lang w:val="en-US" w:eastAsia="zh-CN"/>
              </w:rPr>
              <w:t>；</w:t>
            </w:r>
          </w:p>
          <w:p>
            <w:pPr>
              <w:spacing w:line="288" w:lineRule="auto"/>
              <w:ind w:firstLine="480" w:firstLineChars="200"/>
              <w:jc w:val="both"/>
              <w:rPr>
                <w:rFonts w:hint="eastAsia" w:cs="宋体" w:asciiTheme="minorEastAsia" w:hAnsiTheme="minorEastAsia" w:eastAsiaTheme="minorEastAsia"/>
                <w:b w:val="0"/>
                <w:bCs w:val="0"/>
                <w:color w:val="auto"/>
                <w:sz w:val="24"/>
                <w:highlight w:val="none"/>
                <w:u w:val="none"/>
                <w:lang w:val="en-US" w:eastAsia="zh-CN"/>
              </w:rPr>
            </w:pPr>
            <w:r>
              <w:rPr>
                <w:rFonts w:hint="eastAsia" w:cs="宋体" w:asciiTheme="minorEastAsia" w:hAnsiTheme="minorEastAsia" w:eastAsiaTheme="minorEastAsia"/>
                <w:b w:val="0"/>
                <w:bCs w:val="0"/>
                <w:color w:val="auto"/>
                <w:sz w:val="24"/>
                <w:highlight w:val="none"/>
                <w:u w:val="none"/>
                <w:lang w:val="en-US" w:eastAsia="zh-CN"/>
              </w:rPr>
              <w:t>项目安全员</w:t>
            </w:r>
            <w:r>
              <w:rPr>
                <w:rFonts w:hint="eastAsia" w:cs="宋体" w:asciiTheme="minorEastAsia" w:hAnsiTheme="minorEastAsia" w:eastAsiaTheme="minorEastAsia"/>
                <w:b w:val="0"/>
                <w:bCs w:val="0"/>
                <w:sz w:val="24"/>
                <w:highlight w:val="none"/>
                <w:u w:val="none"/>
                <w:lang w:val="en-US" w:eastAsia="zh-CN"/>
              </w:rPr>
              <w:t>1人：须</w:t>
            </w:r>
            <w:r>
              <w:rPr>
                <w:rFonts w:hint="eastAsia" w:cs="宋体" w:asciiTheme="minorEastAsia" w:hAnsiTheme="minorEastAsia" w:eastAsiaTheme="minorEastAsia"/>
                <w:b w:val="0"/>
                <w:bCs w:val="0"/>
                <w:color w:val="auto"/>
                <w:sz w:val="24"/>
                <w:highlight w:val="none"/>
                <w:u w:val="none"/>
                <w:lang w:val="en-US" w:eastAsia="zh-CN"/>
              </w:rPr>
              <w:t>具备安全考核合格证书C证</w:t>
            </w:r>
            <w:r>
              <w:rPr>
                <w:rFonts w:hint="eastAsia" w:cs="宋体" w:asciiTheme="minorEastAsia" w:hAnsiTheme="minorEastAsia" w:eastAsiaTheme="minorEastAsia"/>
                <w:b w:val="0"/>
                <w:bCs w:val="0"/>
                <w:sz w:val="24"/>
                <w:highlight w:val="none"/>
                <w:u w:val="none"/>
                <w:lang w:val="en-US" w:eastAsia="zh-CN"/>
              </w:rPr>
              <w:t>；</w:t>
            </w:r>
          </w:p>
          <w:p>
            <w:pPr>
              <w:adjustRightInd w:val="0"/>
              <w:snapToGrid w:val="0"/>
              <w:spacing w:after="0" w:line="360" w:lineRule="auto"/>
              <w:jc w:val="both"/>
              <w:rPr>
                <w:rFonts w:cs="宋体" w:asciiTheme="minorEastAsia" w:hAnsiTheme="minorEastAsia" w:eastAsiaTheme="minorEastAsia"/>
                <w:color w:val="000000"/>
                <w:sz w:val="24"/>
                <w:highlight w:val="yellow"/>
                <w:u w:val="none"/>
              </w:rPr>
            </w:pP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其他要求的证明材料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无</w:t>
            </w:r>
          </w:p>
        </w:tc>
      </w:tr>
      <w:tr>
        <w:tblPrEx>
          <w:tblCellMar>
            <w:top w:w="0" w:type="dxa"/>
            <w:left w:w="108" w:type="dxa"/>
            <w:bottom w:w="0" w:type="dxa"/>
            <w:right w:w="108" w:type="dxa"/>
          </w:tblCellMar>
        </w:tblPrEx>
        <w:trPr>
          <w:trHeight w:val="186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3.5（8）</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供应商不存在第一章3.1款情形的证明材料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需要提供证明材料，包括：</w:t>
            </w:r>
            <w:r>
              <w:rPr>
                <w:rFonts w:hint="eastAsia" w:cs="宋体" w:asciiTheme="minorEastAsia" w:hAnsiTheme="minorEastAsia" w:eastAsiaTheme="minorEastAsia"/>
                <w:color w:val="000000"/>
                <w:sz w:val="24"/>
                <w:highlight w:val="none"/>
                <w:u w:val="none"/>
              </w:rPr>
              <w:t xml:space="preserve"> 信用中国</w:t>
            </w:r>
            <w:r>
              <w:rPr>
                <w:rFonts w:hint="eastAsia" w:ascii="宋体" w:hAnsi="宋体" w:cs="宋体"/>
                <w:sz w:val="24"/>
                <w:highlight w:val="none"/>
                <w:u w:val="none"/>
              </w:rPr>
              <w:t>（https://www.creditchina.gov.cn/）网站上所下载的“企业信用信息报告”第1、2页复印件。</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3.6.1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对关键条款进行响应的证据或证明材料要求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提供证据或证明材料复印件，并加盖单位公章。</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3.6.2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响应方案数量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供应商只能提出唯一响应方案</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3.7.5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响应文件及电子版要求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是否要求提供电子版响应文件：</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不要求</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4.1.1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响应文件的密封</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响应文件须密封包装，并在封套的封口处加盖供应商单位章。</w:t>
            </w:r>
          </w:p>
        </w:tc>
      </w:tr>
      <w:tr>
        <w:tblPrEx>
          <w:tblCellMar>
            <w:top w:w="0" w:type="dxa"/>
            <w:left w:w="108" w:type="dxa"/>
            <w:bottom w:w="0" w:type="dxa"/>
            <w:right w:w="108" w:type="dxa"/>
          </w:tblCellMar>
        </w:tblPrEx>
        <w:trPr>
          <w:trHeight w:val="149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4.1.2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封套上应载明的信息</w:t>
            </w:r>
          </w:p>
        </w:tc>
        <w:tc>
          <w:tcPr>
            <w:tcW w:w="4749"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snapToGrid/>
              <w:spacing w:line="600" w:lineRule="exact"/>
              <w:jc w:val="both"/>
              <w:rPr>
                <w:rFonts w:hint="default" w:ascii="宋体" w:hAnsi="宋体" w:eastAsia="宋体" w:cs="宋体"/>
                <w:bCs/>
                <w:color w:val="000000"/>
                <w:sz w:val="24"/>
                <w:szCs w:val="24"/>
                <w:highlight w:val="none"/>
                <w:lang w:val="en-US" w:eastAsia="zh-CN"/>
              </w:rPr>
            </w:pPr>
            <w:r>
              <w:rPr>
                <w:rFonts w:hint="eastAsia" w:asciiTheme="minorEastAsia" w:hAnsiTheme="minorEastAsia" w:eastAsiaTheme="minorEastAsia" w:cstheme="minorEastAsia"/>
                <w:color w:val="000000"/>
                <w:sz w:val="24"/>
                <w:highlight w:val="none"/>
              </w:rPr>
              <w:sym w:font="Wingdings 2" w:char="0052"/>
            </w:r>
            <w:r>
              <w:rPr>
                <w:rFonts w:hint="eastAsia" w:asciiTheme="minorEastAsia" w:hAnsiTheme="minorEastAsia" w:eastAsiaTheme="minorEastAsia" w:cstheme="minorEastAsia"/>
                <w:color w:val="000000"/>
                <w:sz w:val="24"/>
                <w:highlight w:val="none"/>
              </w:rPr>
              <w:t>适用：</w:t>
            </w:r>
            <w:r>
              <w:rPr>
                <w:rFonts w:hint="eastAsia" w:ascii="宋体" w:hAnsi="宋体" w:eastAsia="宋体" w:cs="宋体"/>
                <w:bCs/>
                <w:color w:val="000000"/>
                <w:sz w:val="24"/>
                <w:szCs w:val="24"/>
                <w:highlight w:val="none"/>
                <w:u w:val="single"/>
                <w:lang w:val="en-US" w:eastAsia="zh-CN"/>
              </w:rPr>
              <w:t>城陵矶港</w:t>
            </w:r>
            <w:r>
              <w:rPr>
                <w:rFonts w:hint="eastAsia" w:ascii="宋体" w:hAnsi="宋体" w:cs="宋体"/>
                <w:bCs/>
                <w:color w:val="000000"/>
                <w:sz w:val="24"/>
                <w:szCs w:val="24"/>
                <w:highlight w:val="none"/>
                <w:u w:val="single"/>
                <w:lang w:val="en-US" w:eastAsia="zh-CN"/>
              </w:rPr>
              <w:t>办公</w:t>
            </w:r>
            <w:r>
              <w:rPr>
                <w:rFonts w:hint="eastAsia" w:ascii="宋体" w:hAnsi="宋体" w:eastAsia="宋体" w:cs="宋体"/>
                <w:bCs/>
                <w:color w:val="000000"/>
                <w:sz w:val="24"/>
                <w:szCs w:val="24"/>
                <w:highlight w:val="none"/>
                <w:u w:val="single"/>
                <w:lang w:val="en-US" w:eastAsia="zh-CN"/>
              </w:rPr>
              <w:t>大楼</w:t>
            </w:r>
            <w:r>
              <w:rPr>
                <w:rFonts w:hint="eastAsia" w:ascii="宋体" w:hAnsi="宋体" w:cs="宋体"/>
                <w:bCs/>
                <w:color w:val="000000"/>
                <w:sz w:val="24"/>
                <w:szCs w:val="24"/>
                <w:highlight w:val="none"/>
                <w:u w:val="single"/>
                <w:lang w:val="en-US" w:eastAsia="zh-CN"/>
              </w:rPr>
              <w:t>外墙真石漆</w:t>
            </w:r>
            <w:r>
              <w:rPr>
                <w:rFonts w:hint="eastAsia" w:ascii="宋体" w:hAnsi="宋体" w:eastAsia="宋体" w:cs="宋体"/>
                <w:bCs/>
                <w:color w:val="000000"/>
                <w:sz w:val="24"/>
                <w:szCs w:val="24"/>
                <w:highlight w:val="none"/>
                <w:u w:val="single"/>
                <w:lang w:val="en-US" w:eastAsia="zh-CN"/>
              </w:rPr>
              <w:t>施</w:t>
            </w:r>
            <w:r>
              <w:rPr>
                <w:rFonts w:hint="eastAsia" w:ascii="宋体" w:hAnsi="宋体" w:cs="宋体"/>
                <w:bCs/>
                <w:color w:val="000000"/>
                <w:sz w:val="24"/>
                <w:szCs w:val="24"/>
                <w:highlight w:val="none"/>
                <w:u w:val="single"/>
                <w:lang w:val="en-US" w:eastAsia="zh-CN"/>
              </w:rPr>
              <w:t>工</w:t>
            </w:r>
            <w:r>
              <w:rPr>
                <w:rFonts w:hint="eastAsia" w:ascii="宋体" w:hAnsi="宋体" w:eastAsia="宋体" w:cs="宋体"/>
                <w:bCs/>
                <w:color w:val="000000"/>
                <w:sz w:val="24"/>
                <w:szCs w:val="24"/>
                <w:highlight w:val="none"/>
                <w:u w:val="single"/>
                <w:lang w:val="en-US" w:eastAsia="zh-CN"/>
              </w:rPr>
              <w:t>项目</w:t>
            </w:r>
            <w:r>
              <w:rPr>
                <w:rFonts w:hint="eastAsia" w:ascii="宋体" w:hAnsi="宋体" w:cs="宋体"/>
                <w:bCs/>
                <w:color w:val="000000"/>
                <w:sz w:val="24"/>
                <w:szCs w:val="24"/>
                <w:highlight w:val="none"/>
                <w:u w:val="single"/>
                <w:lang w:val="en-US" w:eastAsia="zh-CN"/>
              </w:rPr>
              <w:t>响应文件</w:t>
            </w:r>
          </w:p>
          <w:p>
            <w:pPr>
              <w:widowControl w:val="0"/>
              <w:spacing w:line="360" w:lineRule="auto"/>
              <w:jc w:val="both"/>
              <w:rPr>
                <w:rFonts w:asciiTheme="minorEastAsia" w:hAnsiTheme="minorEastAsia" w:eastAsiaTheme="minorEastAsia" w:cstheme="minorEastAsia"/>
                <w:color w:val="000000"/>
                <w:sz w:val="24"/>
                <w:highlight w:val="none"/>
              </w:rPr>
            </w:pP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4.2.1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递交响应文件截止时间和地点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highlight w:val="none"/>
                <w:u w:val="single"/>
                <w:lang w:val="en-US" w:eastAsia="zh-CN"/>
              </w:rPr>
            </w:pPr>
            <w:r>
              <w:rPr>
                <w:rFonts w:hint="eastAsia" w:cs="宋体" w:asciiTheme="minorEastAsia" w:hAnsiTheme="minorEastAsia" w:eastAsiaTheme="minorEastAsia"/>
                <w:color w:val="000000"/>
                <w:sz w:val="24"/>
                <w:highlight w:val="none"/>
              </w:rPr>
              <w:t>截止时间：</w:t>
            </w:r>
            <w:r>
              <w:rPr>
                <w:rFonts w:hint="eastAsia" w:cs="宋体" w:asciiTheme="minorEastAsia" w:hAnsiTheme="minorEastAsia" w:eastAsiaTheme="minorEastAsia"/>
                <w:color w:val="000000"/>
                <w:sz w:val="24"/>
                <w:highlight w:val="none"/>
                <w:u w:val="single"/>
                <w:lang w:val="en-US" w:eastAsia="zh-CN"/>
              </w:rPr>
              <w:t>2022年12月 1 日9 时 00分</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递交响应文件的地点：</w:t>
            </w:r>
            <w:r>
              <w:rPr>
                <w:rFonts w:hint="eastAsia" w:cs="宋体" w:asciiTheme="minorEastAsia" w:hAnsiTheme="minorEastAsia" w:eastAsiaTheme="minorEastAsia"/>
                <w:color w:val="000000"/>
                <w:sz w:val="24"/>
                <w:highlight w:val="none"/>
                <w:u w:val="single"/>
              </w:rPr>
              <w:t xml:space="preserve"> 湖南</w:t>
            </w:r>
            <w:r>
              <w:rPr>
                <w:rFonts w:hint="eastAsia" w:ascii="宋体" w:hAnsi="宋体"/>
                <w:sz w:val="24"/>
                <w:highlight w:val="none"/>
                <w:u w:val="single"/>
              </w:rPr>
              <w:t>港产科技有限公司办公楼1楼10</w:t>
            </w:r>
            <w:r>
              <w:rPr>
                <w:rFonts w:hint="eastAsia" w:ascii="宋体" w:hAnsi="宋体"/>
                <w:sz w:val="24"/>
                <w:highlight w:val="none"/>
                <w:u w:val="single"/>
                <w:lang w:val="en-US" w:eastAsia="zh-CN"/>
              </w:rPr>
              <w:t>8</w:t>
            </w:r>
            <w:r>
              <w:rPr>
                <w:rFonts w:hint="eastAsia" w:ascii="宋体" w:hAnsi="宋体"/>
                <w:sz w:val="24"/>
                <w:highlight w:val="none"/>
                <w:u w:val="single"/>
              </w:rPr>
              <w:t>室</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 xml:space="preserve">  </w:t>
            </w:r>
            <w:r>
              <w:rPr>
                <w:rFonts w:hint="eastAsia" w:cs="宋体" w:asciiTheme="minorEastAsia" w:hAnsiTheme="minorEastAsia" w:eastAsiaTheme="minorEastAsia"/>
                <w:color w:val="000000"/>
                <w:sz w:val="24"/>
                <w:highlight w:val="non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是否退还响应文件</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否</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4.3.3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供应商撤回响应文件情况下退还响应保证金的时间</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无</w:t>
            </w:r>
          </w:p>
        </w:tc>
      </w:tr>
      <w:tr>
        <w:tblPrEx>
          <w:tblCellMar>
            <w:top w:w="0" w:type="dxa"/>
            <w:left w:w="108" w:type="dxa"/>
            <w:bottom w:w="0" w:type="dxa"/>
            <w:right w:w="108" w:type="dxa"/>
          </w:tblCellMar>
        </w:tblPrEx>
        <w:trPr>
          <w:trHeight w:val="632"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是否公开开启响应文件</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否</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5.1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开启地点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ascii="宋体" w:hAnsi="宋体" w:eastAsia="宋体" w:cs="宋体"/>
                <w:color w:val="000000"/>
                <w:sz w:val="24"/>
                <w:szCs w:val="24"/>
                <w:lang w:eastAsia="zh-CN"/>
              </w:rPr>
              <w:t>湖南省港务集团有限公司六楼</w:t>
            </w:r>
            <w:r>
              <w:rPr>
                <w:rFonts w:hint="eastAsia" w:ascii="宋体" w:hAnsi="宋体" w:eastAsia="宋体" w:cs="宋体"/>
                <w:color w:val="000000"/>
                <w:sz w:val="24"/>
                <w:szCs w:val="24"/>
                <w:lang w:val="en-US" w:eastAsia="zh-CN"/>
              </w:rPr>
              <w:t>602开评标室</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5.2（4）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开启程序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开启顺序：</w:t>
            </w:r>
            <w:r>
              <w:rPr>
                <w:rFonts w:hint="eastAsia" w:cs="宋体" w:asciiTheme="minorEastAsia" w:hAnsiTheme="minorEastAsia" w:eastAsiaTheme="minorEastAsia"/>
                <w:color w:val="000000"/>
                <w:sz w:val="24"/>
                <w:highlight w:val="none"/>
                <w:u w:val="single"/>
              </w:rPr>
              <w:t xml:space="preserve">   随机 </w:t>
            </w:r>
            <w:r>
              <w:rPr>
                <w:rFonts w:cs="宋体" w:asciiTheme="minorEastAsia" w:hAnsiTheme="minorEastAsia" w:eastAsiaTheme="minorEastAsia"/>
                <w:color w:val="000000"/>
                <w:sz w:val="24"/>
                <w:highlight w:val="none"/>
                <w:u w:val="single"/>
              </w:rPr>
              <w:t xml:space="preserve"> </w:t>
            </w:r>
            <w:r>
              <w:rPr>
                <w:rFonts w:hint="eastAsia" w:cs="宋体" w:asciiTheme="minorEastAsia" w:hAnsiTheme="minorEastAsia" w:eastAsiaTheme="minorEastAsia"/>
                <w:color w:val="000000"/>
                <w:sz w:val="24"/>
                <w:highlight w:val="none"/>
                <w:u w:val="single"/>
              </w:rPr>
              <w:t xml:space="preserve">     </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6.1.1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评审小组的组建</w:t>
            </w:r>
            <w:r>
              <w:rPr>
                <w:rStyle w:val="24"/>
                <w:rFonts w:cs="宋体" w:asciiTheme="minorEastAsia" w:hAnsiTheme="minorEastAsia" w:eastAsiaTheme="minorEastAsia"/>
                <w:color w:val="000000"/>
                <w:sz w:val="24"/>
                <w:highlight w:val="none"/>
              </w:rPr>
              <w:footnoteReference w:id="1"/>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评标小组构成：</w:t>
            </w:r>
            <w:r>
              <w:rPr>
                <w:rFonts w:hint="eastAsia" w:cs="宋体" w:asciiTheme="minorEastAsia" w:hAnsiTheme="minorEastAsia" w:eastAsiaTheme="minorEastAsia"/>
                <w:color w:val="000000"/>
                <w:sz w:val="24"/>
                <w:highlight w:val="none"/>
                <w:u w:val="single"/>
              </w:rPr>
              <w:t>3</w:t>
            </w:r>
            <w:r>
              <w:rPr>
                <w:rFonts w:hint="eastAsia" w:cs="宋体" w:asciiTheme="minorEastAsia" w:hAnsiTheme="minorEastAsia" w:eastAsiaTheme="minorEastAsia"/>
                <w:color w:val="000000"/>
                <w:sz w:val="24"/>
                <w:highlight w:val="none"/>
              </w:rPr>
              <w:t>人。</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评审专家确定方式：在湖南省湘水集团有限公司综合评标专家库中随机抽取</w:t>
            </w:r>
            <w:r>
              <w:rPr>
                <w:rFonts w:hint="eastAsia" w:cs="宋体" w:asciiTheme="minorEastAsia" w:hAnsiTheme="minorEastAsia" w:eastAsiaTheme="minorEastAsia"/>
                <w:color w:val="000000"/>
                <w:sz w:val="24"/>
                <w:highlight w:val="none"/>
                <w:u w:val="none"/>
                <w:lang w:val="en-US" w:eastAsia="zh-CN"/>
              </w:rPr>
              <w:t>2人，业主代表1人</w:t>
            </w:r>
            <w:r>
              <w:rPr>
                <w:rFonts w:hint="eastAsia" w:cs="宋体" w:asciiTheme="minorEastAsia" w:hAnsiTheme="minorEastAsia" w:eastAsiaTheme="minorEastAsia"/>
                <w:color w:val="000000"/>
                <w:sz w:val="24"/>
                <w:highlight w:val="none"/>
              </w:rPr>
              <w:t>。</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6.2.2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评审小组推荐成交候选供应商的数量</w:t>
            </w:r>
            <w:r>
              <w:rPr>
                <w:rStyle w:val="24"/>
                <w:rFonts w:cs="宋体" w:asciiTheme="minorEastAsia" w:hAnsiTheme="minorEastAsia" w:eastAsiaTheme="minorEastAsia"/>
                <w:color w:val="000000"/>
                <w:sz w:val="24"/>
                <w:highlight w:val="none"/>
              </w:rPr>
              <w:footnoteReference w:id="2"/>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highlight w:val="none"/>
                <w:lang w:eastAsia="zh-CN"/>
              </w:rPr>
            </w:pPr>
            <w:r>
              <w:rPr>
                <w:rFonts w:hint="eastAsia" w:cs="宋体" w:asciiTheme="minorEastAsia" w:hAnsiTheme="minorEastAsia" w:eastAsiaTheme="minorEastAsia"/>
                <w:b/>
                <w:bCs/>
                <w:color w:val="000000"/>
                <w:sz w:val="24"/>
                <w:highlight w:val="none"/>
                <w:lang w:val="en-US" w:eastAsia="zh-CN"/>
              </w:rPr>
              <w:t>2</w:t>
            </w:r>
            <w:r>
              <w:rPr>
                <w:rFonts w:hint="eastAsia" w:cs="宋体" w:asciiTheme="minorEastAsia" w:hAnsiTheme="minorEastAsia" w:eastAsiaTheme="minorEastAsia"/>
                <w:b w:val="0"/>
                <w:bCs w:val="0"/>
                <w:color w:val="000000"/>
                <w:sz w:val="24"/>
                <w:highlight w:val="none"/>
              </w:rPr>
              <w:t>-</w:t>
            </w:r>
            <w:r>
              <w:rPr>
                <w:rFonts w:hint="eastAsia" w:cs="宋体" w:asciiTheme="minorEastAsia" w:hAnsiTheme="minorEastAsia" w:eastAsiaTheme="minorEastAsia"/>
                <w:b w:val="0"/>
                <w:bCs w:val="0"/>
                <w:color w:val="000000"/>
                <w:sz w:val="24"/>
                <w:highlight w:val="none"/>
                <w:lang w:val="en-US" w:eastAsia="zh-CN"/>
              </w:rPr>
              <w:t>3人</w:t>
            </w:r>
          </w:p>
        </w:tc>
      </w:tr>
      <w:tr>
        <w:tblPrEx>
          <w:tblCellMar>
            <w:top w:w="0" w:type="dxa"/>
            <w:left w:w="108" w:type="dxa"/>
            <w:bottom w:w="0" w:type="dxa"/>
            <w:right w:w="108" w:type="dxa"/>
          </w:tblCellMar>
        </w:tblPrEx>
        <w:trPr>
          <w:trHeight w:val="94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6.7.2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推荐成交候选供应商的排序及数量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是否排序：</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☑排序</w:t>
            </w:r>
          </w:p>
        </w:tc>
      </w:tr>
      <w:tr>
        <w:tblPrEx>
          <w:tblCellMar>
            <w:top w:w="0" w:type="dxa"/>
            <w:left w:w="108" w:type="dxa"/>
            <w:bottom w:w="0" w:type="dxa"/>
            <w:right w:w="108" w:type="dxa"/>
          </w:tblCellMar>
        </w:tblPrEx>
        <w:trPr>
          <w:trHeight w:val="316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7.2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成交候选供应商公示</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u w:val="single"/>
              </w:rPr>
            </w:pPr>
            <w:r>
              <w:rPr>
                <w:rFonts w:hint="eastAsia" w:cs="宋体" w:asciiTheme="minorEastAsia" w:hAnsiTheme="minorEastAsia" w:eastAsiaTheme="minorEastAsia"/>
                <w:color w:val="000000"/>
                <w:sz w:val="24"/>
                <w:highlight w:val="none"/>
              </w:rPr>
              <w:t>公示媒介：</w:t>
            </w:r>
            <w:r>
              <w:rPr>
                <w:rFonts w:hint="eastAsia" w:ascii="宋体" w:hAnsi="宋体" w:cs="宋体"/>
                <w:sz w:val="24"/>
                <w:highlight w:val="none"/>
              </w:rPr>
              <w:t>中国招标投标公共服务平台（http：//www.cebpubservice.com）、湖南省湘水集团有限公司网站（http：//www.hnsxsjt.co）、</w:t>
            </w:r>
            <w:r>
              <w:rPr>
                <w:rFonts w:hint="eastAsia" w:ascii="宋体" w:hAnsi="宋体" w:cs="宋体"/>
                <w:sz w:val="24"/>
                <w:highlight w:val="none"/>
                <w:u w:val="single"/>
              </w:rPr>
              <w:t xml:space="preserve">                                   </w:t>
            </w:r>
            <w:r>
              <w:rPr>
                <w:rFonts w:hint="eastAsia" w:ascii="宋体" w:hAnsi="宋体" w:cs="宋体"/>
                <w:sz w:val="24"/>
                <w:highlight w:val="none"/>
              </w:rPr>
              <w:t>湖南省港务集团有限公司门户网站（http://www.hnsgwjt.com/）上发布。</w:t>
            </w:r>
          </w:p>
          <w:p>
            <w:pPr>
              <w:spacing w:line="288" w:lineRule="auto"/>
              <w:jc w:val="both"/>
              <w:rPr>
                <w:rFonts w:cs="宋体" w:asciiTheme="minorEastAsia" w:hAnsiTheme="minorEastAsia" w:eastAsiaTheme="minorEastAsia"/>
                <w:color w:val="000000"/>
                <w:sz w:val="24"/>
                <w:highlight w:val="none"/>
                <w:u w:val="single"/>
              </w:rPr>
            </w:pPr>
            <w:r>
              <w:rPr>
                <w:rFonts w:hint="eastAsia" w:cs="宋体" w:asciiTheme="minorEastAsia" w:hAnsiTheme="minorEastAsia" w:eastAsiaTheme="minorEastAsia"/>
                <w:color w:val="000000"/>
                <w:sz w:val="24"/>
                <w:highlight w:val="none"/>
              </w:rPr>
              <w:t>公示期限：</w:t>
            </w:r>
            <w:r>
              <w:rPr>
                <w:rFonts w:hint="eastAsia" w:cs="宋体" w:asciiTheme="minorEastAsia" w:hAnsiTheme="minorEastAsia" w:eastAsiaTheme="minorEastAsia"/>
                <w:color w:val="000000"/>
                <w:sz w:val="24"/>
                <w:highlight w:val="none"/>
                <w:u w:val="single"/>
              </w:rPr>
              <w:t xml:space="preserve"> 3</w:t>
            </w:r>
            <w:r>
              <w:rPr>
                <w:rFonts w:hint="eastAsia" w:cs="宋体" w:asciiTheme="minorEastAsia" w:hAnsiTheme="minorEastAsia" w:eastAsiaTheme="minorEastAsia"/>
                <w:color w:val="000000"/>
                <w:sz w:val="24"/>
                <w:highlight w:val="none"/>
                <w:u w:val="single"/>
                <w:lang w:val="en-US" w:eastAsia="zh-CN"/>
              </w:rPr>
              <w:t>个工作</w:t>
            </w:r>
            <w:r>
              <w:rPr>
                <w:rFonts w:hint="eastAsia" w:cs="宋体" w:asciiTheme="minorEastAsia" w:hAnsiTheme="minorEastAsia" w:eastAsiaTheme="minorEastAsia"/>
                <w:color w:val="000000"/>
                <w:sz w:val="24"/>
                <w:highlight w:val="none"/>
                <w:u w:val="single"/>
              </w:rPr>
              <w:t xml:space="preserve">日 </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u w:val="single"/>
              </w:rPr>
              <w:t>其他应公示的内容</w:t>
            </w:r>
            <w:r>
              <w:rPr>
                <w:rFonts w:hint="eastAsia" w:cs="宋体" w:asciiTheme="minorEastAsia" w:hAnsiTheme="minorEastAsia" w:eastAsiaTheme="minorEastAsia"/>
                <w:color w:val="000000"/>
                <w:sz w:val="24"/>
                <w:highlight w:val="none"/>
              </w:rPr>
              <w:t>：</w:t>
            </w:r>
            <w:r>
              <w:rPr>
                <w:rFonts w:hint="eastAsia" w:cs="宋体" w:asciiTheme="minorEastAsia" w:hAnsiTheme="minorEastAsia" w:eastAsiaTheme="minorEastAsia"/>
                <w:color w:val="000000"/>
                <w:sz w:val="24"/>
                <w:highlight w:val="none"/>
                <w:u w:val="single"/>
              </w:rPr>
              <w:t xml:space="preserve"> 无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7.7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履约保证金</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不要求提交</w:t>
            </w:r>
          </w:p>
        </w:tc>
      </w:tr>
      <w:tr>
        <w:tblPrEx>
          <w:tblCellMar>
            <w:top w:w="0" w:type="dxa"/>
            <w:left w:w="108" w:type="dxa"/>
            <w:bottom w:w="0" w:type="dxa"/>
            <w:right w:w="108" w:type="dxa"/>
          </w:tblCellMar>
        </w:tblPrEx>
        <w:trPr>
          <w:trHeight w:val="149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8.1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异议渠道</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u w:val="single"/>
              </w:rPr>
            </w:pPr>
            <w:r>
              <w:rPr>
                <w:rFonts w:hint="eastAsia" w:cs="宋体" w:asciiTheme="minorEastAsia" w:hAnsiTheme="minorEastAsia" w:eastAsiaTheme="minorEastAsia"/>
                <w:color w:val="000000"/>
                <w:sz w:val="24"/>
                <w:highlight w:val="none"/>
              </w:rPr>
              <w:t>联系人：晏晶</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 xml:space="preserve">联系电话：13873063063                  </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 xml:space="preserve">通信地址：               </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u w:val="single"/>
              </w:rPr>
              <w:t>其他：</w:t>
            </w:r>
            <w:r>
              <w:rPr>
                <w:rFonts w:hint="eastAsia" w:cs="宋体" w:asciiTheme="minorEastAsia" w:hAnsiTheme="minorEastAsia" w:eastAsiaTheme="minorEastAsia"/>
                <w:color w:val="000000" w:themeColor="text1"/>
                <w:sz w:val="24"/>
                <w:highlight w:val="none"/>
                <w:u w:val="single"/>
                <w14:textFill>
                  <w14:solidFill>
                    <w14:schemeClr w14:val="tx1"/>
                  </w14:solidFill>
                </w14:textFill>
              </w:rPr>
              <w:t>无</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10.1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采购代理服务费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不要求承担</w:t>
            </w:r>
          </w:p>
        </w:tc>
      </w:tr>
      <w:tr>
        <w:tblPrEx>
          <w:tblCellMar>
            <w:top w:w="0" w:type="dxa"/>
            <w:left w:w="108" w:type="dxa"/>
            <w:bottom w:w="0" w:type="dxa"/>
            <w:right w:w="108" w:type="dxa"/>
          </w:tblCellMar>
        </w:tblPrEx>
        <w:trPr>
          <w:trHeight w:val="40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10.2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需要补充的其他内容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无</w:t>
            </w:r>
          </w:p>
        </w:tc>
      </w:tr>
    </w:tbl>
    <w:p>
      <w:pPr>
        <w:spacing w:line="240" w:lineRule="auto"/>
        <w:jc w:val="center"/>
        <w:outlineLvl w:val="0"/>
        <w:rPr>
          <w:rFonts w:ascii="仿宋" w:hAnsi="仿宋" w:eastAsia="仿宋" w:cs="仿宋"/>
          <w:sz w:val="30"/>
          <w:szCs w:val="30"/>
          <w:highlight w:val="none"/>
          <w:u w:val="single"/>
        </w:rPr>
      </w:pPr>
      <w:r>
        <w:rPr>
          <w:rFonts w:ascii="仿宋" w:hAnsi="仿宋" w:eastAsia="仿宋" w:cs="仿宋"/>
          <w:b/>
          <w:bCs/>
          <w:sz w:val="30"/>
          <w:szCs w:val="30"/>
          <w:highlight w:val="none"/>
        </w:rPr>
        <w:br w:type="page"/>
      </w:r>
      <w:bookmarkStart w:id="36" w:name="_Toc6417"/>
      <w:bookmarkStart w:id="37" w:name="_Toc8576"/>
      <w:bookmarkStart w:id="38" w:name="_Toc30736"/>
      <w:r>
        <w:rPr>
          <w:rFonts w:hint="eastAsia" w:ascii="华文中宋" w:hAnsi="华文中宋" w:eastAsia="华文中宋" w:cs="仿宋"/>
          <w:b/>
          <w:bCs/>
          <w:sz w:val="30"/>
          <w:szCs w:val="30"/>
          <w:highlight w:val="none"/>
          <w:u w:val="single"/>
        </w:rPr>
        <w:t>第二章 供应商须知正文</w:t>
      </w:r>
      <w:bookmarkEnd w:id="36"/>
      <w:bookmarkEnd w:id="37"/>
      <w:bookmarkEnd w:id="38"/>
    </w:p>
    <w:p>
      <w:pPr>
        <w:adjustRightInd w:val="0"/>
        <w:snapToGrid w:val="0"/>
        <w:spacing w:before="120" w:beforeLines="50" w:after="120" w:afterLines="50" w:line="312" w:lineRule="auto"/>
        <w:jc w:val="both"/>
        <w:outlineLvl w:val="1"/>
        <w:rPr>
          <w:rFonts w:ascii="宋体" w:hAnsi="宋体" w:cs="仿宋"/>
          <w:b/>
          <w:bCs/>
          <w:sz w:val="24"/>
          <w:highlight w:val="none"/>
        </w:rPr>
      </w:pPr>
      <w:bookmarkStart w:id="39" w:name="_Toc4987"/>
      <w:r>
        <w:rPr>
          <w:rFonts w:hint="eastAsia" w:ascii="宋体" w:hAnsi="宋体" w:cs="仿宋"/>
          <w:b/>
          <w:bCs/>
          <w:sz w:val="24"/>
          <w:highlight w:val="none"/>
        </w:rPr>
        <w:t>1 总则</w:t>
      </w:r>
      <w:bookmarkEnd w:id="39"/>
    </w:p>
    <w:p>
      <w:pPr>
        <w:adjustRightInd w:val="0"/>
        <w:snapToGrid w:val="0"/>
        <w:spacing w:line="312" w:lineRule="auto"/>
        <w:jc w:val="both"/>
        <w:outlineLvl w:val="2"/>
        <w:rPr>
          <w:rFonts w:ascii="宋体" w:hAnsi="宋体" w:cs="仿宋"/>
          <w:b/>
          <w:bCs/>
          <w:sz w:val="24"/>
          <w:highlight w:val="none"/>
        </w:rPr>
      </w:pPr>
      <w:bookmarkStart w:id="40" w:name="_Toc24096"/>
      <w:r>
        <w:rPr>
          <w:rFonts w:hint="eastAsia" w:ascii="宋体" w:hAnsi="宋体" w:cs="仿宋"/>
          <w:b/>
          <w:bCs/>
          <w:sz w:val="24"/>
          <w:highlight w:val="none"/>
        </w:rPr>
        <w:t>1.1采购方法和评审办法</w:t>
      </w:r>
      <w:bookmarkEnd w:id="4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41" w:name="_Toc9332"/>
      <w:r>
        <w:rPr>
          <w:rFonts w:hint="eastAsia" w:ascii="宋体" w:hAnsi="宋体" w:eastAsia="宋体" w:cs="宋体"/>
          <w:bCs/>
          <w:color w:val="000000"/>
          <w:sz w:val="24"/>
          <w:szCs w:val="24"/>
          <w:highlight w:val="none"/>
          <w:lang w:val="en-US" w:eastAsia="zh-CN"/>
        </w:rPr>
        <w:t>本项目采用供应商须知前附表规定的采购方式和评审办法。</w:t>
      </w:r>
      <w:bookmarkEnd w:id="41"/>
    </w:p>
    <w:p>
      <w:pPr>
        <w:pStyle w:val="29"/>
        <w:spacing w:line="312" w:lineRule="auto"/>
        <w:ind w:firstLine="0" w:firstLineChars="0"/>
        <w:rPr>
          <w:rFonts w:hAnsi="宋体" w:eastAsia="宋体" w:cs="仿宋"/>
          <w:sz w:val="24"/>
          <w:szCs w:val="24"/>
          <w:highlight w:val="none"/>
        </w:rPr>
      </w:pPr>
      <w:r>
        <w:rPr>
          <w:rFonts w:hint="eastAsia" w:hAnsi="宋体" w:eastAsia="宋体" w:cs="仿宋"/>
          <w:sz w:val="24"/>
          <w:szCs w:val="24"/>
          <w:highlight w:val="none"/>
        </w:rPr>
        <w:t>1.1.1采购方法</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询价采购，是指按照规定程序就采购项目向符合资格要求的供应商进行询价，通过评审、比较确定成交供应商的采购方式。</w:t>
      </w:r>
    </w:p>
    <w:p>
      <w:pPr>
        <w:pStyle w:val="29"/>
        <w:spacing w:line="312" w:lineRule="auto"/>
        <w:ind w:firstLine="0" w:firstLineChars="0"/>
        <w:rPr>
          <w:rFonts w:hAnsi="宋体" w:eastAsia="宋体" w:cs="仿宋"/>
          <w:sz w:val="24"/>
          <w:szCs w:val="24"/>
          <w:highlight w:val="none"/>
        </w:rPr>
      </w:pPr>
      <w:r>
        <w:rPr>
          <w:rFonts w:hint="eastAsia" w:hAnsi="宋体" w:eastAsia="宋体" w:cs="仿宋"/>
          <w:sz w:val="24"/>
          <w:szCs w:val="24"/>
          <w:highlight w:val="none"/>
        </w:rPr>
        <w:t>1.1.2评审办法</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最低价法，是指在资质、业绩、信誉等条件均满足询价文件要求的前提下，按单项或总价价格最低原则确定成交供应商。包括同质比价法和同价比质法。</w:t>
      </w:r>
    </w:p>
    <w:p>
      <w:pPr>
        <w:adjustRightInd w:val="0"/>
        <w:snapToGrid w:val="0"/>
        <w:spacing w:line="312" w:lineRule="auto"/>
        <w:jc w:val="both"/>
        <w:outlineLvl w:val="2"/>
        <w:rPr>
          <w:rFonts w:ascii="宋体" w:hAnsi="宋体" w:cs="仿宋"/>
          <w:b/>
          <w:bCs/>
          <w:sz w:val="24"/>
          <w:highlight w:val="none"/>
        </w:rPr>
      </w:pPr>
      <w:bookmarkStart w:id="42" w:name="_Toc8927"/>
      <w:r>
        <w:rPr>
          <w:rFonts w:hint="eastAsia" w:ascii="宋体" w:hAnsi="宋体" w:cs="仿宋"/>
          <w:b/>
          <w:bCs/>
          <w:sz w:val="24"/>
          <w:highlight w:val="none"/>
        </w:rPr>
        <w:t>1.2采购项目概况和供应商资格要求</w:t>
      </w:r>
      <w:bookmarkEnd w:id="4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采购项目概况和供应商资格要求见第一章“采购公告”。</w:t>
      </w:r>
    </w:p>
    <w:p>
      <w:pPr>
        <w:adjustRightInd w:val="0"/>
        <w:snapToGrid w:val="0"/>
        <w:spacing w:line="312" w:lineRule="auto"/>
        <w:jc w:val="both"/>
        <w:outlineLvl w:val="2"/>
        <w:rPr>
          <w:rFonts w:ascii="宋体" w:hAnsi="宋体" w:cs="仿宋"/>
          <w:b/>
          <w:bCs/>
          <w:sz w:val="24"/>
          <w:highlight w:val="none"/>
        </w:rPr>
      </w:pPr>
      <w:bookmarkStart w:id="43" w:name="_Toc9946"/>
      <w:r>
        <w:rPr>
          <w:rFonts w:hint="eastAsia" w:ascii="宋体" w:hAnsi="宋体" w:cs="仿宋"/>
          <w:b/>
          <w:bCs/>
          <w:sz w:val="24"/>
          <w:highlight w:val="none"/>
        </w:rPr>
        <w:t>1.3 费用承担</w:t>
      </w:r>
      <w:bookmarkEnd w:id="43"/>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供应商准备和参加采购活动所发生的各种费用由供应商自行承担。</w:t>
      </w:r>
    </w:p>
    <w:p>
      <w:pPr>
        <w:adjustRightInd w:val="0"/>
        <w:snapToGrid w:val="0"/>
        <w:spacing w:line="312" w:lineRule="auto"/>
        <w:jc w:val="both"/>
        <w:outlineLvl w:val="2"/>
        <w:rPr>
          <w:rFonts w:ascii="宋体" w:hAnsi="宋体" w:cs="仿宋"/>
          <w:b/>
          <w:bCs/>
          <w:sz w:val="24"/>
          <w:highlight w:val="none"/>
        </w:rPr>
      </w:pPr>
      <w:bookmarkStart w:id="44" w:name="_Toc736"/>
      <w:r>
        <w:rPr>
          <w:rFonts w:hint="eastAsia" w:ascii="宋体" w:hAnsi="宋体" w:cs="仿宋"/>
          <w:b/>
          <w:bCs/>
          <w:sz w:val="24"/>
          <w:highlight w:val="none"/>
        </w:rPr>
        <w:t>1.4保密</w:t>
      </w:r>
      <w:bookmarkEnd w:id="4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参加采购活动的各方应对采购文件和响应文件中的商业和技术等秘密保密，否则应承担相应的法律责任。</w:t>
      </w:r>
    </w:p>
    <w:p>
      <w:pPr>
        <w:adjustRightInd w:val="0"/>
        <w:snapToGrid w:val="0"/>
        <w:spacing w:line="312" w:lineRule="auto"/>
        <w:jc w:val="both"/>
        <w:outlineLvl w:val="2"/>
        <w:rPr>
          <w:rFonts w:ascii="宋体" w:hAnsi="宋体" w:cs="仿宋"/>
          <w:b/>
          <w:bCs/>
          <w:sz w:val="24"/>
          <w:highlight w:val="none"/>
        </w:rPr>
      </w:pPr>
      <w:bookmarkStart w:id="45" w:name="_Toc17883"/>
      <w:r>
        <w:rPr>
          <w:rFonts w:hint="eastAsia" w:ascii="宋体" w:hAnsi="宋体" w:cs="仿宋"/>
          <w:b/>
          <w:bCs/>
          <w:sz w:val="24"/>
          <w:highlight w:val="none"/>
        </w:rPr>
        <w:t>1.5语言文字</w:t>
      </w:r>
      <w:bookmarkEnd w:id="45"/>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采购文件和响应文件使用的语言文字为中文。专用术语使用外文的，应附有中文注释。</w:t>
      </w:r>
    </w:p>
    <w:p>
      <w:pPr>
        <w:adjustRightInd w:val="0"/>
        <w:snapToGrid w:val="0"/>
        <w:spacing w:line="312" w:lineRule="auto"/>
        <w:jc w:val="both"/>
        <w:outlineLvl w:val="2"/>
        <w:rPr>
          <w:rFonts w:ascii="宋体" w:hAnsi="宋体" w:cs="仿宋"/>
          <w:b/>
          <w:bCs/>
          <w:sz w:val="24"/>
          <w:highlight w:val="none"/>
        </w:rPr>
      </w:pPr>
      <w:bookmarkStart w:id="46" w:name="_Toc2808"/>
      <w:r>
        <w:rPr>
          <w:rFonts w:hint="eastAsia" w:ascii="宋体" w:hAnsi="宋体" w:cs="仿宋"/>
          <w:b/>
          <w:bCs/>
          <w:sz w:val="24"/>
          <w:highlight w:val="none"/>
        </w:rPr>
        <w:t>1.6计量单位</w:t>
      </w:r>
      <w:bookmarkEnd w:id="4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所有计量均采用中华人民共和国法定计量单位。</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1.7踏勘现场（本项目不组织踏勘现场）</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1.8采购预备会（本项目不组织采购预备会）</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1.9主要材料和关键部件外购</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供应商拟对主要材料和关键部件进行外购的，应符合第五章“采购需求”中提出的或允许外购的相关规定，并在响应文件中作出说明。</w:t>
      </w:r>
    </w:p>
    <w:p>
      <w:pPr>
        <w:adjustRightInd w:val="0"/>
        <w:snapToGrid w:val="0"/>
        <w:spacing w:line="312" w:lineRule="auto"/>
        <w:jc w:val="both"/>
        <w:outlineLvl w:val="2"/>
        <w:rPr>
          <w:rFonts w:ascii="宋体" w:hAnsi="宋体" w:cs="仿宋"/>
          <w:b/>
          <w:bCs/>
          <w:sz w:val="24"/>
          <w:highlight w:val="none"/>
        </w:rPr>
      </w:pPr>
      <w:bookmarkStart w:id="47" w:name="_Toc6115"/>
      <w:r>
        <w:rPr>
          <w:rFonts w:hint="eastAsia" w:ascii="宋体" w:hAnsi="宋体" w:cs="仿宋"/>
          <w:b/>
          <w:bCs/>
          <w:sz w:val="24"/>
          <w:highlight w:val="none"/>
        </w:rPr>
        <w:t>1.10响应和偏差</w:t>
      </w:r>
      <w:bookmarkEnd w:id="47"/>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outlineLvl w:val="1"/>
        <w:rPr>
          <w:rFonts w:ascii="宋体" w:hAnsi="宋体" w:cs="仿宋"/>
          <w:b/>
          <w:bCs/>
          <w:sz w:val="24"/>
          <w:highlight w:val="none"/>
        </w:rPr>
      </w:pPr>
      <w:bookmarkStart w:id="48" w:name="_Toc2312"/>
      <w:r>
        <w:rPr>
          <w:rFonts w:hint="eastAsia" w:ascii="宋体" w:hAnsi="宋体" w:cs="仿宋"/>
          <w:b/>
          <w:bCs/>
          <w:sz w:val="24"/>
          <w:highlight w:val="none"/>
        </w:rPr>
        <w:t>2采购文件</w:t>
      </w:r>
      <w:bookmarkEnd w:id="48"/>
    </w:p>
    <w:p>
      <w:pPr>
        <w:adjustRightInd w:val="0"/>
        <w:snapToGrid w:val="0"/>
        <w:spacing w:line="312" w:lineRule="auto"/>
        <w:jc w:val="both"/>
        <w:outlineLvl w:val="2"/>
        <w:rPr>
          <w:rFonts w:ascii="宋体" w:hAnsi="宋体" w:cs="仿宋"/>
          <w:b/>
          <w:bCs/>
          <w:sz w:val="24"/>
          <w:highlight w:val="none"/>
        </w:rPr>
      </w:pPr>
      <w:bookmarkStart w:id="49" w:name="_Toc10200"/>
      <w:r>
        <w:rPr>
          <w:rFonts w:hint="eastAsia" w:ascii="宋体" w:hAnsi="宋体" w:cs="仿宋"/>
          <w:b/>
          <w:bCs/>
          <w:sz w:val="24"/>
          <w:highlight w:val="none"/>
        </w:rPr>
        <w:t>2.1采购文件的组成</w:t>
      </w:r>
      <w:bookmarkEnd w:id="49"/>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本采购文件包括:</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(1)采购公告:</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(2)供应商须知;</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(3)评审办法;</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(4)合同条款及格式;</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(5)采购需求;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(6)响应文件格式;</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(7)供应商须知前附表规定的其他资料。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采购人依照本章规定，对采购文件所作的澄清、修改，构成采购文件的组成部分。</w:t>
      </w:r>
    </w:p>
    <w:p>
      <w:pPr>
        <w:adjustRightInd w:val="0"/>
        <w:snapToGrid w:val="0"/>
        <w:spacing w:line="312" w:lineRule="auto"/>
        <w:jc w:val="both"/>
        <w:outlineLvl w:val="2"/>
        <w:rPr>
          <w:rFonts w:ascii="宋体" w:hAnsi="宋体" w:cs="仿宋"/>
          <w:b/>
          <w:bCs/>
          <w:sz w:val="24"/>
          <w:highlight w:val="none"/>
        </w:rPr>
      </w:pPr>
      <w:bookmarkStart w:id="50" w:name="_Toc1757"/>
      <w:r>
        <w:rPr>
          <w:rFonts w:hint="eastAsia" w:ascii="宋体" w:hAnsi="宋体" w:cs="仿宋"/>
          <w:b/>
          <w:bCs/>
          <w:sz w:val="24"/>
          <w:highlight w:val="none"/>
        </w:rPr>
        <w:t>2.2采购文件的澄清和修改</w:t>
      </w:r>
      <w:bookmarkEnd w:id="5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2.2.3供应商在收到补充文件后，应按供应商须知前附表规定的时间和方式通知采购人，确认已收到该补充文件。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2.2.4除非确有必要，采购人有权拒绝回复供应商在本章第2.2.1项规定的时间后提出的任何澄清要求。</w:t>
      </w:r>
    </w:p>
    <w:p>
      <w:pPr>
        <w:adjustRightInd w:val="0"/>
        <w:snapToGrid w:val="0"/>
        <w:spacing w:line="312" w:lineRule="auto"/>
        <w:jc w:val="both"/>
        <w:outlineLvl w:val="1"/>
        <w:rPr>
          <w:rFonts w:ascii="宋体" w:hAnsi="宋体" w:cs="仿宋"/>
          <w:b/>
          <w:bCs/>
          <w:sz w:val="24"/>
          <w:highlight w:val="none"/>
        </w:rPr>
      </w:pPr>
      <w:bookmarkStart w:id="51" w:name="_Toc16612"/>
      <w:r>
        <w:rPr>
          <w:rFonts w:hint="eastAsia" w:ascii="宋体" w:hAnsi="宋体" w:cs="仿宋"/>
          <w:b/>
          <w:bCs/>
          <w:sz w:val="24"/>
          <w:highlight w:val="none"/>
        </w:rPr>
        <w:t>3响应文件</w:t>
      </w:r>
      <w:bookmarkEnd w:id="51"/>
    </w:p>
    <w:p>
      <w:pPr>
        <w:adjustRightInd w:val="0"/>
        <w:snapToGrid w:val="0"/>
        <w:spacing w:line="312" w:lineRule="auto"/>
        <w:jc w:val="both"/>
        <w:outlineLvl w:val="2"/>
        <w:rPr>
          <w:rFonts w:ascii="宋体" w:hAnsi="宋体" w:cs="仿宋"/>
          <w:b/>
          <w:bCs/>
          <w:sz w:val="24"/>
          <w:highlight w:val="none"/>
        </w:rPr>
      </w:pPr>
      <w:bookmarkStart w:id="52" w:name="_Toc12606"/>
      <w:r>
        <w:rPr>
          <w:rFonts w:hint="eastAsia" w:ascii="宋体" w:hAnsi="宋体" w:cs="仿宋"/>
          <w:b/>
          <w:bCs/>
          <w:sz w:val="24"/>
          <w:highlight w:val="none"/>
        </w:rPr>
        <w:t>3.1响应文件的组成</w:t>
      </w:r>
      <w:bookmarkEnd w:id="5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3.1.1响应文件应包括下列内容:</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(1)响应函;</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(2)授权委托书(如有);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(3)商务和技术偏差表;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(4)报价表;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(5)资格审查资料;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(6)响应方案;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(7)供应商须知前附表规定的其他资料。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供应商在评审过程中作出的符合采购文件要求的澄清、说明和补正，构成响应文件的组成部分。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3.1.2供应商的法定代表人(单位负责人)亲自签署响应文件、亲自参加采购的，响应文件不包括第3.1.1(2)目所指的授权委托书。</w:t>
      </w:r>
    </w:p>
    <w:p>
      <w:pPr>
        <w:adjustRightInd w:val="0"/>
        <w:snapToGrid w:val="0"/>
        <w:spacing w:line="312" w:lineRule="auto"/>
        <w:jc w:val="both"/>
        <w:outlineLvl w:val="2"/>
        <w:rPr>
          <w:rFonts w:ascii="宋体" w:hAnsi="宋体" w:cs="仿宋"/>
          <w:b/>
          <w:bCs/>
          <w:sz w:val="24"/>
          <w:highlight w:val="none"/>
        </w:rPr>
      </w:pPr>
      <w:bookmarkStart w:id="53" w:name="_Toc22991"/>
      <w:r>
        <w:rPr>
          <w:rFonts w:hint="eastAsia" w:ascii="宋体" w:hAnsi="宋体" w:cs="仿宋"/>
          <w:b/>
          <w:bCs/>
          <w:sz w:val="24"/>
          <w:highlight w:val="none"/>
        </w:rPr>
        <w:t>3.2报价</w:t>
      </w:r>
      <w:bookmarkEnd w:id="53"/>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3.2.3采购人设有最高限价的，供应商的报价不得超过最高限价。最高限价或最高限价计算方法在供应商须知前附表中载明。</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3.2.4报价的其他要求见供应商须知前附表。</w:t>
      </w:r>
    </w:p>
    <w:p>
      <w:pPr>
        <w:adjustRightInd w:val="0"/>
        <w:snapToGrid w:val="0"/>
        <w:spacing w:line="312" w:lineRule="auto"/>
        <w:jc w:val="both"/>
        <w:outlineLvl w:val="2"/>
        <w:rPr>
          <w:rFonts w:ascii="宋体" w:hAnsi="宋体" w:cs="仿宋"/>
          <w:b/>
          <w:bCs/>
          <w:sz w:val="24"/>
          <w:highlight w:val="none"/>
        </w:rPr>
      </w:pPr>
      <w:bookmarkStart w:id="54" w:name="_Toc13424"/>
      <w:r>
        <w:rPr>
          <w:rFonts w:hint="eastAsia" w:ascii="宋体" w:hAnsi="宋体" w:cs="仿宋"/>
          <w:b/>
          <w:bCs/>
          <w:sz w:val="24"/>
          <w:highlight w:val="none"/>
        </w:rPr>
        <w:t>3.3响应文件有效期</w:t>
      </w:r>
      <w:bookmarkEnd w:id="5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3.3.1除供应商须知前附表另有规定外，响应文件有效期应为90日，从采购文件规定的递交响应文件的截止时间开始计算。</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3.4响应保证金（本项目不提交响应保证金）</w:t>
      </w:r>
    </w:p>
    <w:p>
      <w:pPr>
        <w:adjustRightInd w:val="0"/>
        <w:snapToGrid w:val="0"/>
        <w:spacing w:line="312" w:lineRule="auto"/>
        <w:ind w:left="120" w:hanging="120" w:hangingChars="50"/>
        <w:jc w:val="both"/>
        <w:rPr>
          <w:rFonts w:ascii="宋体" w:hAnsi="宋体" w:cs="仿宋"/>
          <w:b/>
          <w:bCs/>
          <w:sz w:val="24"/>
          <w:highlight w:val="none"/>
        </w:rPr>
      </w:pPr>
      <w:r>
        <w:rPr>
          <w:rFonts w:hint="eastAsia" w:ascii="宋体" w:hAnsi="宋体" w:cs="仿宋"/>
          <w:b/>
          <w:bCs/>
          <w:sz w:val="24"/>
          <w:highlight w:val="none"/>
        </w:rPr>
        <w:t>3.5资格审查资料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供应商应提供供应商须知前附表3.5(1)-3.5(9)中规定的资格审查资料，以证明其满足第一章“采购公告”对供应商的各项资格要求。</w:t>
      </w:r>
    </w:p>
    <w:p>
      <w:pPr>
        <w:adjustRightInd w:val="0"/>
        <w:snapToGrid w:val="0"/>
        <w:spacing w:line="312" w:lineRule="auto"/>
        <w:jc w:val="both"/>
        <w:outlineLvl w:val="2"/>
        <w:rPr>
          <w:rFonts w:ascii="宋体" w:hAnsi="宋体" w:cs="仿宋"/>
          <w:b/>
          <w:bCs/>
          <w:sz w:val="24"/>
          <w:highlight w:val="none"/>
        </w:rPr>
      </w:pPr>
      <w:bookmarkStart w:id="55" w:name="_Toc9215"/>
      <w:r>
        <w:rPr>
          <w:rFonts w:hint="eastAsia" w:ascii="宋体" w:hAnsi="宋体" w:cs="仿宋"/>
          <w:b/>
          <w:bCs/>
          <w:sz w:val="24"/>
          <w:highlight w:val="none"/>
        </w:rPr>
        <w:t>3.6响应方案</w:t>
      </w:r>
      <w:bookmarkEnd w:id="55"/>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3.6.2供应商只能提出唯一的响应方案。供应商在响应文件中提出多个响应方案的，其响应文件将被视为无效。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outlineLvl w:val="2"/>
        <w:rPr>
          <w:rFonts w:ascii="宋体" w:hAnsi="宋体" w:cs="仿宋"/>
          <w:b/>
          <w:bCs/>
          <w:sz w:val="24"/>
          <w:highlight w:val="none"/>
        </w:rPr>
      </w:pPr>
      <w:bookmarkStart w:id="56" w:name="_Toc8619"/>
      <w:r>
        <w:rPr>
          <w:rFonts w:hint="eastAsia" w:ascii="宋体" w:hAnsi="宋体" w:cs="仿宋"/>
          <w:b/>
          <w:bCs/>
          <w:sz w:val="24"/>
          <w:highlight w:val="none"/>
        </w:rPr>
        <w:t>3.7响应文件的编制</w:t>
      </w:r>
      <w:bookmarkEnd w:id="5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3.7.1响应文件应按第六章“响应文件格式”进行编写，如有必要，可以增加附件作为响应文件的组成部分。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3.7.2响应文件应用不褪色的的材料书写或打印。</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3.7.3评审过程中供应商对响应文件的澄清、说明和补正应由供应商的法定代表人(单位负责人)或其授权的代理人签字或加盖单位章。</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3.7.4响应文件应尽量避免涂改、行间插字或删除。如果出现上述情况，改动之处应由供应商的法定代表人(单位负责人)或其授权的代理人签字或加盖单位章。</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3.7.6响应文件的正本与副本应分别装订，并编制目录。响应文件需分册装订的，具体分册装订要求见供应商须知前附表规定。</w:t>
      </w:r>
    </w:p>
    <w:p>
      <w:pPr>
        <w:adjustRightInd w:val="0"/>
        <w:snapToGrid w:val="0"/>
        <w:spacing w:line="312" w:lineRule="auto"/>
        <w:jc w:val="both"/>
        <w:outlineLvl w:val="1"/>
        <w:rPr>
          <w:rFonts w:ascii="宋体" w:hAnsi="宋体" w:cs="仿宋"/>
          <w:b/>
          <w:bCs/>
          <w:sz w:val="24"/>
          <w:highlight w:val="none"/>
        </w:rPr>
      </w:pPr>
      <w:bookmarkStart w:id="57" w:name="_Toc9105"/>
      <w:r>
        <w:rPr>
          <w:rFonts w:hint="eastAsia" w:ascii="宋体" w:hAnsi="宋体" w:cs="仿宋"/>
          <w:b/>
          <w:bCs/>
          <w:sz w:val="24"/>
          <w:highlight w:val="none"/>
        </w:rPr>
        <w:t>4响应文件的递交</w:t>
      </w:r>
      <w:bookmarkEnd w:id="57"/>
    </w:p>
    <w:p>
      <w:pPr>
        <w:adjustRightInd w:val="0"/>
        <w:snapToGrid w:val="0"/>
        <w:spacing w:line="312" w:lineRule="auto"/>
        <w:jc w:val="both"/>
        <w:outlineLvl w:val="2"/>
        <w:rPr>
          <w:rFonts w:ascii="宋体" w:hAnsi="宋体" w:cs="仿宋"/>
          <w:b/>
          <w:bCs/>
          <w:sz w:val="24"/>
          <w:highlight w:val="none"/>
        </w:rPr>
      </w:pPr>
      <w:bookmarkStart w:id="58" w:name="_Toc19793"/>
      <w:r>
        <w:rPr>
          <w:rFonts w:ascii="宋体" w:hAnsi="宋体" w:cs="仿宋"/>
          <w:b/>
          <w:bCs/>
          <w:sz w:val="24"/>
          <w:highlight w:val="none"/>
        </w:rPr>
        <w:t>4.1响应文件的包装与标记</w:t>
      </w:r>
      <w:bookmarkEnd w:id="5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4.1.1响应文件应安善包装。供应商须知前附表规定响应文件应密封的，响应文件应按要求密封。</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4.1.2响应文件封套上应载明的内容见供应商须知前附表。</w:t>
      </w:r>
    </w:p>
    <w:p>
      <w:pPr>
        <w:adjustRightInd w:val="0"/>
        <w:snapToGrid w:val="0"/>
        <w:spacing w:line="312" w:lineRule="auto"/>
        <w:jc w:val="both"/>
        <w:outlineLvl w:val="2"/>
        <w:rPr>
          <w:rFonts w:ascii="宋体" w:hAnsi="宋体" w:cs="仿宋"/>
          <w:b/>
          <w:bCs/>
          <w:sz w:val="24"/>
          <w:highlight w:val="none"/>
        </w:rPr>
      </w:pPr>
      <w:bookmarkStart w:id="59" w:name="_Toc8492"/>
      <w:r>
        <w:rPr>
          <w:rFonts w:hint="eastAsia" w:ascii="宋体" w:hAnsi="宋体" w:cs="仿宋"/>
          <w:b/>
          <w:bCs/>
          <w:sz w:val="24"/>
          <w:highlight w:val="none"/>
        </w:rPr>
        <w:t>4.2响应文件的递交</w:t>
      </w:r>
      <w:bookmarkEnd w:id="59"/>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4.2.2除供应商须知前附表另有规定外，供应商所提交的响应文件不于退还。</w:t>
      </w:r>
    </w:p>
    <w:p>
      <w:pPr>
        <w:adjustRightInd w:val="0"/>
        <w:snapToGrid w:val="0"/>
        <w:spacing w:line="312" w:lineRule="auto"/>
        <w:jc w:val="both"/>
        <w:outlineLvl w:val="2"/>
        <w:rPr>
          <w:rFonts w:ascii="宋体" w:hAnsi="宋体" w:cs="仿宋"/>
          <w:b/>
          <w:bCs/>
          <w:sz w:val="24"/>
          <w:highlight w:val="none"/>
        </w:rPr>
      </w:pPr>
      <w:bookmarkStart w:id="60" w:name="_Toc21492"/>
      <w:r>
        <w:rPr>
          <w:rFonts w:hint="eastAsia" w:ascii="宋体" w:hAnsi="宋体" w:cs="仿宋"/>
          <w:b/>
          <w:bCs/>
          <w:sz w:val="24"/>
          <w:highlight w:val="none"/>
        </w:rPr>
        <w:t>4.3响应文件的修改与撤回</w:t>
      </w:r>
      <w:bookmarkEnd w:id="6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4.3.1在本章第4.2.1项规定的递交响应文件的截止时间前，供应商可以修改或撤回已递交的响应文件。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4.3.2响应文件的修改文件或供应商撤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4.3.3除供应商须知前附表另有规定外，供应商撤回响应文件的，采购人应在5日内退还已收取的响应保证金。</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4.3.4修改的内容为响应文件的组成部分。响应文件的修改文件应按照本章第3条、第4条的规定进行编制、包装、标记和递交，并注明“修改”字样。</w:t>
      </w:r>
    </w:p>
    <w:p>
      <w:pPr>
        <w:adjustRightInd w:val="0"/>
        <w:snapToGrid w:val="0"/>
        <w:spacing w:line="312" w:lineRule="auto"/>
        <w:jc w:val="both"/>
        <w:outlineLvl w:val="1"/>
        <w:rPr>
          <w:rFonts w:ascii="宋体" w:hAnsi="宋体" w:cs="仿宋"/>
          <w:b/>
          <w:bCs/>
          <w:sz w:val="24"/>
          <w:highlight w:val="none"/>
        </w:rPr>
      </w:pPr>
      <w:bookmarkStart w:id="61" w:name="_Toc2943"/>
      <w:r>
        <w:rPr>
          <w:rFonts w:hint="eastAsia" w:ascii="宋体" w:hAnsi="宋体" w:cs="仿宋"/>
          <w:b/>
          <w:bCs/>
          <w:sz w:val="24"/>
          <w:highlight w:val="none"/>
        </w:rPr>
        <w:t>5开启响应文件</w:t>
      </w:r>
      <w:bookmarkEnd w:id="61"/>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采购人一般不公开开启响应文件。如供应商须知前附表规定公开开启响应文件的，开启活动应按本条规定执行。</w:t>
      </w:r>
    </w:p>
    <w:p>
      <w:pPr>
        <w:adjustRightInd w:val="0"/>
        <w:snapToGrid w:val="0"/>
        <w:spacing w:line="312" w:lineRule="auto"/>
        <w:jc w:val="both"/>
        <w:outlineLvl w:val="2"/>
        <w:rPr>
          <w:rFonts w:ascii="宋体" w:hAnsi="宋体" w:cs="仿宋"/>
          <w:b/>
          <w:bCs/>
          <w:sz w:val="24"/>
          <w:highlight w:val="none"/>
        </w:rPr>
      </w:pPr>
      <w:bookmarkStart w:id="62" w:name="_Toc9319"/>
      <w:r>
        <w:rPr>
          <w:rFonts w:hint="eastAsia" w:ascii="宋体" w:hAnsi="宋体" w:cs="仿宋"/>
          <w:b/>
          <w:bCs/>
          <w:sz w:val="24"/>
          <w:highlight w:val="none"/>
        </w:rPr>
        <w:t>5.1开启响应文件的时间和地点</w:t>
      </w:r>
      <w:bookmarkEnd w:id="6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adjustRightInd w:val="0"/>
        <w:snapToGrid w:val="0"/>
        <w:spacing w:line="312" w:lineRule="auto"/>
        <w:jc w:val="both"/>
        <w:outlineLvl w:val="2"/>
        <w:rPr>
          <w:rFonts w:ascii="宋体" w:hAnsi="宋体" w:cs="仿宋"/>
          <w:b/>
          <w:bCs/>
          <w:sz w:val="24"/>
          <w:highlight w:val="none"/>
        </w:rPr>
      </w:pPr>
      <w:bookmarkStart w:id="63" w:name="_Toc19841"/>
      <w:r>
        <w:rPr>
          <w:rFonts w:hint="eastAsia" w:ascii="宋体" w:hAnsi="宋体" w:cs="仿宋"/>
          <w:b/>
          <w:bCs/>
          <w:sz w:val="24"/>
          <w:highlight w:val="none"/>
        </w:rPr>
        <w:t>5.2开启程序</w:t>
      </w:r>
      <w:bookmarkEnd w:id="63"/>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主持人按下列程序公开开启响应文件: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(1)按照供应商须知前附表规定的开启顺序开启响应文件，公布递交响应文件的供应商名称、响应报价及供应商须知前附表规定的其他应公布的信息，并记录在案;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(2)开启会议结束。</w:t>
      </w:r>
    </w:p>
    <w:p>
      <w:pPr>
        <w:adjustRightInd w:val="0"/>
        <w:snapToGrid w:val="0"/>
        <w:spacing w:line="312" w:lineRule="auto"/>
        <w:jc w:val="both"/>
        <w:outlineLvl w:val="2"/>
        <w:rPr>
          <w:rFonts w:ascii="宋体" w:hAnsi="宋体" w:cs="仿宋"/>
          <w:sz w:val="24"/>
          <w:highlight w:val="none"/>
        </w:rPr>
      </w:pPr>
      <w:bookmarkStart w:id="64" w:name="_Toc8044"/>
      <w:r>
        <w:rPr>
          <w:rFonts w:hint="eastAsia" w:ascii="宋体" w:hAnsi="宋体" w:cs="仿宋"/>
          <w:b/>
          <w:bCs/>
          <w:sz w:val="24"/>
          <w:highlight w:val="none"/>
        </w:rPr>
        <w:t>5.3递交响应文件的供应商不足的情形</w:t>
      </w:r>
      <w:bookmarkEnd w:id="6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outlineLvl w:val="1"/>
        <w:rPr>
          <w:rFonts w:ascii="宋体" w:hAnsi="宋体" w:cs="仿宋"/>
          <w:b/>
          <w:bCs/>
          <w:sz w:val="24"/>
          <w:highlight w:val="none"/>
        </w:rPr>
      </w:pPr>
      <w:bookmarkStart w:id="65" w:name="_Toc2035"/>
      <w:r>
        <w:rPr>
          <w:rFonts w:hint="eastAsia" w:ascii="宋体" w:hAnsi="宋体" w:cs="仿宋"/>
          <w:b/>
          <w:bCs/>
          <w:sz w:val="24"/>
          <w:highlight w:val="none"/>
        </w:rPr>
        <w:t>6评审</w:t>
      </w:r>
      <w:bookmarkEnd w:id="65"/>
    </w:p>
    <w:p>
      <w:pPr>
        <w:adjustRightInd w:val="0"/>
        <w:snapToGrid w:val="0"/>
        <w:spacing w:line="312" w:lineRule="auto"/>
        <w:jc w:val="both"/>
        <w:outlineLvl w:val="2"/>
        <w:rPr>
          <w:rFonts w:ascii="宋体" w:hAnsi="宋体" w:cs="仿宋"/>
          <w:b/>
          <w:bCs/>
          <w:sz w:val="24"/>
          <w:highlight w:val="none"/>
        </w:rPr>
      </w:pPr>
      <w:bookmarkStart w:id="66" w:name="_Toc8637"/>
      <w:r>
        <w:rPr>
          <w:rFonts w:hint="eastAsia" w:ascii="宋体" w:hAnsi="宋体" w:cs="仿宋"/>
          <w:b/>
          <w:bCs/>
          <w:sz w:val="24"/>
          <w:highlight w:val="none"/>
        </w:rPr>
        <w:t>6.1评审小组</w:t>
      </w:r>
      <w:bookmarkEnd w:id="6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6.1.1评审由采购人组建的评审小组负责。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6.1.2评审小组成员有下列情形之的，应当回避:</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（1）供应商主要负责人或供应商主要负责人的近亲属;</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(2)与供应商有经济利益关系或其他利害关系，可能影响公正评审的。</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6.1.3评审小组组建后，评审小组成员共同推选或或由采购人指定评审小组组长，评审小组组长负责组织评审工作。</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outlineLvl w:val="2"/>
        <w:rPr>
          <w:rFonts w:ascii="宋体" w:hAnsi="宋体" w:cs="仿宋"/>
          <w:b/>
          <w:bCs/>
          <w:sz w:val="24"/>
          <w:highlight w:val="none"/>
        </w:rPr>
      </w:pPr>
      <w:bookmarkStart w:id="67" w:name="_Toc20402"/>
      <w:r>
        <w:rPr>
          <w:rFonts w:hint="eastAsia" w:ascii="宋体" w:hAnsi="宋体" w:cs="仿宋"/>
          <w:b/>
          <w:bCs/>
          <w:sz w:val="24"/>
          <w:highlight w:val="none"/>
        </w:rPr>
        <w:t>6.2评审</w:t>
      </w:r>
      <w:bookmarkEnd w:id="67"/>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6.2.1评审小组按照第三章“评审办法”规定的评审标准和程序对响应文件进行评审和比较。</w:t>
      </w:r>
    </w:p>
    <w:p>
      <w:pPr>
        <w:adjustRightInd w:val="0"/>
        <w:snapToGrid w:val="0"/>
        <w:spacing w:line="540" w:lineRule="exact"/>
        <w:ind w:firstLine="480" w:firstLineChars="200"/>
        <w:rPr>
          <w:rFonts w:ascii="宋体" w:hAnsi="宋体" w:cs="仿宋"/>
          <w:sz w:val="24"/>
          <w:highlight w:val="none"/>
        </w:rPr>
      </w:pPr>
      <w:r>
        <w:rPr>
          <w:rFonts w:hint="eastAsia" w:ascii="宋体" w:hAnsi="宋体" w:eastAsia="宋体" w:cs="宋体"/>
          <w:bCs/>
          <w:color w:val="000000"/>
          <w:sz w:val="24"/>
          <w:szCs w:val="24"/>
          <w:highlight w:val="none"/>
          <w:lang w:val="en-US" w:eastAsia="zh-CN"/>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outlineLvl w:val="1"/>
        <w:rPr>
          <w:rFonts w:ascii="宋体" w:hAnsi="宋体" w:cs="仿宋"/>
          <w:b/>
          <w:bCs/>
          <w:sz w:val="24"/>
          <w:highlight w:val="none"/>
        </w:rPr>
      </w:pPr>
      <w:bookmarkStart w:id="68" w:name="_Toc13192"/>
      <w:r>
        <w:rPr>
          <w:rFonts w:hint="eastAsia" w:ascii="宋体" w:hAnsi="宋体" w:cs="仿宋"/>
          <w:b/>
          <w:bCs/>
          <w:sz w:val="24"/>
          <w:highlight w:val="none"/>
        </w:rPr>
        <w:t>7合同授予</w:t>
      </w:r>
      <w:bookmarkEnd w:id="68"/>
    </w:p>
    <w:p>
      <w:pPr>
        <w:adjustRightInd w:val="0"/>
        <w:snapToGrid w:val="0"/>
        <w:spacing w:line="312" w:lineRule="auto"/>
        <w:jc w:val="both"/>
        <w:outlineLvl w:val="2"/>
        <w:rPr>
          <w:rFonts w:ascii="宋体" w:hAnsi="宋体" w:cs="仿宋"/>
          <w:b/>
          <w:bCs/>
          <w:sz w:val="24"/>
          <w:highlight w:val="none"/>
        </w:rPr>
      </w:pPr>
      <w:bookmarkStart w:id="69" w:name="_Toc24539"/>
      <w:r>
        <w:rPr>
          <w:rFonts w:hint="eastAsia" w:ascii="宋体" w:hAnsi="宋体" w:cs="仿宋"/>
          <w:b/>
          <w:bCs/>
          <w:sz w:val="24"/>
          <w:highlight w:val="none"/>
        </w:rPr>
        <w:t>7.1成交候选供应商报价核查</w:t>
      </w:r>
      <w:bookmarkEnd w:id="69"/>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outlineLvl w:val="2"/>
        <w:rPr>
          <w:rFonts w:ascii="宋体" w:hAnsi="宋体" w:cs="宋体"/>
          <w:b/>
          <w:bCs/>
          <w:sz w:val="24"/>
          <w:highlight w:val="none"/>
        </w:rPr>
      </w:pPr>
      <w:bookmarkStart w:id="70" w:name="_Toc12432"/>
      <w:r>
        <w:rPr>
          <w:rFonts w:hint="eastAsia" w:ascii="宋体" w:hAnsi="宋体" w:cs="仿宋"/>
          <w:b/>
          <w:bCs/>
          <w:sz w:val="24"/>
          <w:highlight w:val="none"/>
        </w:rPr>
        <w:t>7.2</w:t>
      </w:r>
      <w:r>
        <w:rPr>
          <w:rFonts w:hint="eastAsia" w:ascii="宋体" w:hAnsi="宋体" w:cs="宋体"/>
          <w:b/>
          <w:bCs/>
          <w:sz w:val="24"/>
          <w:highlight w:val="none"/>
        </w:rPr>
        <w:t>成交候选</w:t>
      </w:r>
      <w:r>
        <w:rPr>
          <w:rFonts w:hint="eastAsia" w:ascii="宋体" w:hAnsi="宋体" w:cs="仿宋"/>
          <w:b/>
          <w:bCs/>
          <w:sz w:val="24"/>
          <w:highlight w:val="none"/>
        </w:rPr>
        <w:t>供应商</w:t>
      </w:r>
      <w:r>
        <w:rPr>
          <w:rFonts w:hint="eastAsia" w:ascii="宋体" w:hAnsi="宋体" w:cs="宋体"/>
          <w:b/>
          <w:bCs/>
          <w:sz w:val="24"/>
          <w:highlight w:val="none"/>
        </w:rPr>
        <w:t>公示</w:t>
      </w:r>
      <w:bookmarkEnd w:id="7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采购人按照供应商须知前附表规定的公示媒介和期限公示成交候选供应商。</w:t>
      </w:r>
    </w:p>
    <w:p>
      <w:pPr>
        <w:widowControl w:val="0"/>
        <w:adjustRightInd w:val="0"/>
        <w:snapToGrid w:val="0"/>
        <w:spacing w:line="312" w:lineRule="auto"/>
        <w:jc w:val="both"/>
        <w:outlineLvl w:val="2"/>
        <w:rPr>
          <w:rFonts w:ascii="宋体" w:hAnsi="宋体" w:cs="宋体"/>
          <w:b/>
          <w:bCs/>
          <w:sz w:val="24"/>
          <w:highlight w:val="none"/>
        </w:rPr>
      </w:pPr>
      <w:bookmarkStart w:id="71" w:name="_Toc26068"/>
      <w:r>
        <w:rPr>
          <w:rFonts w:hint="eastAsia" w:ascii="宋体" w:hAnsi="宋体" w:cs="宋体"/>
          <w:b/>
          <w:bCs/>
          <w:sz w:val="24"/>
          <w:highlight w:val="none"/>
        </w:rPr>
        <w:t>7.3成交结果异议</w:t>
      </w:r>
      <w:bookmarkEnd w:id="71"/>
      <w:r>
        <w:rPr>
          <w:rFonts w:hint="eastAsia" w:ascii="宋体" w:hAnsi="宋体" w:cs="宋体"/>
          <w:b/>
          <w:bCs/>
          <w:sz w:val="24"/>
          <w:highlight w:val="none"/>
        </w:rPr>
        <w:t xml:space="preserve"> </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供应商或者其他利害关系人对采购结果有异议的，应当在成交候选供应商公示期间提出。</w:t>
      </w:r>
    </w:p>
    <w:p>
      <w:pPr>
        <w:adjustRightInd w:val="0"/>
        <w:snapToGrid w:val="0"/>
        <w:spacing w:line="312" w:lineRule="auto"/>
        <w:jc w:val="both"/>
        <w:outlineLvl w:val="2"/>
        <w:rPr>
          <w:rFonts w:ascii="宋体" w:hAnsi="宋体" w:cs="仿宋"/>
          <w:b/>
          <w:bCs/>
          <w:sz w:val="24"/>
          <w:highlight w:val="none"/>
        </w:rPr>
      </w:pPr>
      <w:bookmarkStart w:id="72" w:name="_Toc5779"/>
      <w:r>
        <w:rPr>
          <w:rFonts w:hint="eastAsia" w:ascii="宋体" w:hAnsi="宋体" w:cs="仿宋"/>
          <w:b/>
          <w:bCs/>
          <w:sz w:val="24"/>
          <w:highlight w:val="none"/>
        </w:rPr>
        <w:t>7.4成交候选供应商履约能力核查</w:t>
      </w:r>
      <w:bookmarkEnd w:id="7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outlineLvl w:val="2"/>
        <w:rPr>
          <w:rFonts w:ascii="宋体" w:hAnsi="宋体" w:cs="仿宋"/>
          <w:b/>
          <w:bCs/>
          <w:sz w:val="24"/>
          <w:highlight w:val="none"/>
        </w:rPr>
      </w:pPr>
      <w:bookmarkStart w:id="73" w:name="_Toc32423"/>
      <w:r>
        <w:rPr>
          <w:rFonts w:hint="eastAsia" w:ascii="宋体" w:hAnsi="宋体" w:cs="仿宋"/>
          <w:b/>
          <w:bCs/>
          <w:sz w:val="24"/>
          <w:highlight w:val="none"/>
        </w:rPr>
        <w:t>7.5发出成交通知书</w:t>
      </w:r>
      <w:bookmarkEnd w:id="73"/>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7.6履约保证金（本项目不要求递交履约保证金）</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7.7签订合同</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7.7.3联合体成交的，联合体各方应当共同与采购人签订合同，就成交项目向采购人承担连带责任。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outlineLvl w:val="2"/>
        <w:rPr>
          <w:rFonts w:ascii="宋体" w:hAnsi="宋体" w:cs="仿宋"/>
          <w:b/>
          <w:bCs/>
          <w:sz w:val="24"/>
          <w:highlight w:val="none"/>
        </w:rPr>
      </w:pPr>
      <w:bookmarkStart w:id="74" w:name="_Toc21414"/>
      <w:r>
        <w:rPr>
          <w:rFonts w:hint="eastAsia" w:ascii="宋体" w:hAnsi="宋体" w:cs="仿宋"/>
          <w:b/>
          <w:bCs/>
          <w:sz w:val="24"/>
          <w:highlight w:val="none"/>
        </w:rPr>
        <w:t>7.</w:t>
      </w:r>
      <w:r>
        <w:rPr>
          <w:rFonts w:ascii="宋体" w:hAnsi="宋体" w:cs="仿宋"/>
          <w:b/>
          <w:bCs/>
          <w:sz w:val="24"/>
          <w:highlight w:val="none"/>
        </w:rPr>
        <w:t>8</w:t>
      </w:r>
      <w:r>
        <w:rPr>
          <w:rFonts w:hint="eastAsia" w:ascii="宋体" w:hAnsi="宋体" w:cs="仿宋"/>
          <w:b/>
          <w:bCs/>
          <w:sz w:val="24"/>
          <w:highlight w:val="none"/>
        </w:rPr>
        <w:t>特殊情形处理</w:t>
      </w:r>
      <w:bookmarkEnd w:id="7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outlineLvl w:val="1"/>
        <w:rPr>
          <w:rFonts w:ascii="宋体" w:hAnsi="宋体" w:cs="仿宋"/>
          <w:b/>
          <w:bCs/>
          <w:sz w:val="24"/>
          <w:highlight w:val="none"/>
        </w:rPr>
      </w:pPr>
      <w:bookmarkStart w:id="75" w:name="_Toc30822"/>
      <w:r>
        <w:rPr>
          <w:rFonts w:hint="eastAsia" w:ascii="宋体" w:hAnsi="宋体" w:cs="仿宋"/>
          <w:b/>
          <w:bCs/>
          <w:sz w:val="24"/>
          <w:highlight w:val="none"/>
        </w:rPr>
        <w:t>8异议</w:t>
      </w:r>
      <w:bookmarkEnd w:id="75"/>
    </w:p>
    <w:p>
      <w:pPr>
        <w:adjustRightInd w:val="0"/>
        <w:snapToGrid w:val="0"/>
        <w:spacing w:line="312" w:lineRule="auto"/>
        <w:jc w:val="both"/>
        <w:outlineLvl w:val="2"/>
        <w:rPr>
          <w:rFonts w:ascii="宋体" w:hAnsi="宋体" w:cs="仿宋"/>
          <w:b/>
          <w:bCs/>
          <w:sz w:val="24"/>
          <w:highlight w:val="none"/>
        </w:rPr>
      </w:pPr>
      <w:bookmarkStart w:id="76" w:name="_Toc31906"/>
      <w:r>
        <w:rPr>
          <w:rFonts w:hint="eastAsia" w:ascii="宋体" w:hAnsi="宋体" w:cs="仿宋"/>
          <w:b/>
          <w:bCs/>
          <w:sz w:val="24"/>
          <w:highlight w:val="none"/>
        </w:rPr>
        <w:t>8.1提出异议</w:t>
      </w:r>
      <w:bookmarkEnd w:id="7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 (1)异议人名称、地址、邮政编码、联系人及联系电话;</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 (2)具体、明确的异议事项、事实依据及与异议事项相关的请求。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异议函应由异议人的法定代表人(单位负责人)或其授权的代理人签字并加盖单位章。</w:t>
      </w:r>
    </w:p>
    <w:p>
      <w:pPr>
        <w:adjustRightInd w:val="0"/>
        <w:snapToGrid w:val="0"/>
        <w:spacing w:line="312" w:lineRule="auto"/>
        <w:jc w:val="both"/>
        <w:outlineLvl w:val="2"/>
        <w:rPr>
          <w:rFonts w:ascii="宋体" w:hAnsi="宋体" w:cs="仿宋"/>
          <w:b/>
          <w:bCs/>
          <w:sz w:val="24"/>
          <w:highlight w:val="none"/>
        </w:rPr>
      </w:pPr>
      <w:bookmarkStart w:id="77" w:name="_Toc16230"/>
      <w:r>
        <w:rPr>
          <w:rFonts w:hint="eastAsia" w:ascii="宋体" w:hAnsi="宋体" w:cs="仿宋"/>
          <w:b/>
          <w:bCs/>
          <w:sz w:val="24"/>
          <w:highlight w:val="none"/>
        </w:rPr>
        <w:t>8.2异议处理</w:t>
      </w:r>
      <w:bookmarkEnd w:id="77"/>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540" w:lineRule="exact"/>
        <w:ind w:firstLine="480" w:firstLineChars="200"/>
        <w:rPr>
          <w:rFonts w:ascii="宋体" w:hAnsi="宋体" w:cs="仿宋"/>
          <w:sz w:val="24"/>
          <w:highlight w:val="none"/>
        </w:rPr>
      </w:pPr>
      <w:r>
        <w:rPr>
          <w:rFonts w:hint="eastAsia" w:ascii="宋体" w:hAnsi="宋体" w:eastAsia="宋体" w:cs="宋体"/>
          <w:bCs/>
          <w:color w:val="000000"/>
          <w:sz w:val="24"/>
          <w:szCs w:val="24"/>
          <w:highlight w:val="none"/>
          <w:lang w:val="en-US" w:eastAsia="zh-CN"/>
        </w:rPr>
        <w:t>采购人认为异议不成立或不影响采购结果的，可以继续进行采购活动。</w:t>
      </w:r>
    </w:p>
    <w:p>
      <w:pPr>
        <w:adjustRightInd w:val="0"/>
        <w:snapToGrid w:val="0"/>
        <w:spacing w:line="312" w:lineRule="auto"/>
        <w:jc w:val="both"/>
        <w:outlineLvl w:val="1"/>
        <w:rPr>
          <w:rFonts w:ascii="宋体" w:hAnsi="宋体" w:cs="仿宋"/>
          <w:b/>
          <w:bCs/>
          <w:sz w:val="24"/>
          <w:highlight w:val="none"/>
        </w:rPr>
      </w:pPr>
      <w:bookmarkStart w:id="78" w:name="_Toc21473"/>
      <w:r>
        <w:rPr>
          <w:rFonts w:hint="eastAsia" w:ascii="宋体" w:hAnsi="宋体" w:cs="仿宋"/>
          <w:b/>
          <w:bCs/>
          <w:sz w:val="24"/>
          <w:highlight w:val="none"/>
        </w:rPr>
        <w:t>9纪律要求</w:t>
      </w:r>
      <w:bookmarkEnd w:id="78"/>
    </w:p>
    <w:p>
      <w:pPr>
        <w:adjustRightInd w:val="0"/>
        <w:snapToGrid w:val="0"/>
        <w:spacing w:line="312" w:lineRule="auto"/>
        <w:jc w:val="both"/>
        <w:outlineLvl w:val="2"/>
        <w:rPr>
          <w:rFonts w:ascii="宋体" w:hAnsi="宋体" w:cs="仿宋"/>
          <w:b/>
          <w:bCs/>
          <w:sz w:val="24"/>
          <w:highlight w:val="none"/>
        </w:rPr>
      </w:pPr>
      <w:bookmarkStart w:id="79" w:name="_Toc24209"/>
      <w:r>
        <w:rPr>
          <w:rFonts w:hint="eastAsia" w:ascii="宋体" w:hAnsi="宋体" w:cs="仿宋"/>
          <w:b/>
          <w:bCs/>
          <w:sz w:val="24"/>
          <w:highlight w:val="none"/>
        </w:rPr>
        <w:t>9.1对采购人的纪律要求</w:t>
      </w:r>
      <w:bookmarkEnd w:id="79"/>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采购人不得泄露采购活动中应当保密的情况和资料，不得与供应商串通损害国家利益、社会公共利益或者他人合法权益。</w:t>
      </w:r>
    </w:p>
    <w:p>
      <w:pPr>
        <w:adjustRightInd w:val="0"/>
        <w:snapToGrid w:val="0"/>
        <w:spacing w:line="312" w:lineRule="auto"/>
        <w:jc w:val="both"/>
        <w:outlineLvl w:val="2"/>
        <w:rPr>
          <w:rFonts w:ascii="宋体" w:hAnsi="宋体" w:cs="仿宋"/>
          <w:b/>
          <w:bCs/>
          <w:sz w:val="24"/>
          <w:highlight w:val="none"/>
        </w:rPr>
      </w:pPr>
      <w:bookmarkStart w:id="80" w:name="_Toc2763"/>
      <w:r>
        <w:rPr>
          <w:rFonts w:hint="eastAsia" w:ascii="宋体" w:hAnsi="宋体" w:cs="仿宋"/>
          <w:b/>
          <w:bCs/>
          <w:sz w:val="24"/>
          <w:highlight w:val="none"/>
        </w:rPr>
        <w:t>9.2对供应商的纪律要求</w:t>
      </w:r>
      <w:bookmarkEnd w:id="8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outlineLvl w:val="2"/>
        <w:rPr>
          <w:rFonts w:ascii="宋体" w:hAnsi="宋体" w:cs="仿宋"/>
          <w:b/>
          <w:bCs/>
          <w:sz w:val="24"/>
          <w:highlight w:val="none"/>
        </w:rPr>
      </w:pPr>
      <w:bookmarkStart w:id="81" w:name="_Toc29483"/>
      <w:r>
        <w:rPr>
          <w:rFonts w:hint="eastAsia" w:ascii="宋体" w:hAnsi="宋体" w:cs="仿宋"/>
          <w:b/>
          <w:bCs/>
          <w:sz w:val="24"/>
          <w:highlight w:val="none"/>
        </w:rPr>
        <w:t>9.3对评审小组成员的纪律要求</w:t>
      </w:r>
      <w:bookmarkEnd w:id="81"/>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outlineLvl w:val="2"/>
        <w:rPr>
          <w:rFonts w:ascii="宋体" w:hAnsi="宋体" w:cs="仿宋"/>
          <w:b/>
          <w:bCs/>
          <w:sz w:val="24"/>
          <w:highlight w:val="none"/>
        </w:rPr>
      </w:pPr>
      <w:bookmarkStart w:id="82" w:name="_Toc15635"/>
      <w:r>
        <w:rPr>
          <w:rFonts w:hint="eastAsia" w:ascii="宋体" w:hAnsi="宋体" w:cs="仿宋"/>
          <w:b/>
          <w:bCs/>
          <w:sz w:val="24"/>
          <w:highlight w:val="none"/>
        </w:rPr>
        <w:t>9.4对与采购活动有关的工作人员的纪律要求</w:t>
      </w:r>
      <w:bookmarkEnd w:id="8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outlineLvl w:val="1"/>
        <w:rPr>
          <w:rFonts w:ascii="宋体" w:hAnsi="宋体" w:cs="仿宋"/>
          <w:b/>
          <w:bCs/>
          <w:sz w:val="24"/>
          <w:highlight w:val="none"/>
        </w:rPr>
      </w:pPr>
      <w:bookmarkStart w:id="83" w:name="_Toc14255"/>
      <w:r>
        <w:rPr>
          <w:rFonts w:hint="eastAsia" w:ascii="宋体" w:hAnsi="宋体" w:cs="仿宋"/>
          <w:b/>
          <w:bCs/>
          <w:sz w:val="24"/>
          <w:highlight w:val="none"/>
        </w:rPr>
        <w:t>10</w:t>
      </w:r>
      <w:r>
        <w:rPr>
          <w:rFonts w:ascii="宋体" w:hAnsi="宋体" w:cs="仿宋"/>
          <w:b/>
          <w:bCs/>
          <w:sz w:val="24"/>
          <w:highlight w:val="none"/>
        </w:rPr>
        <w:t xml:space="preserve"> </w:t>
      </w:r>
      <w:r>
        <w:rPr>
          <w:rFonts w:hint="eastAsia" w:ascii="宋体" w:hAnsi="宋体" w:cs="仿宋"/>
          <w:b/>
          <w:bCs/>
          <w:sz w:val="24"/>
          <w:highlight w:val="none"/>
        </w:rPr>
        <w:t>需要补充的其他内容</w:t>
      </w:r>
      <w:bookmarkEnd w:id="83"/>
    </w:p>
    <w:p>
      <w:pPr>
        <w:adjustRightInd w:val="0"/>
        <w:snapToGrid w:val="0"/>
        <w:spacing w:line="312" w:lineRule="auto"/>
        <w:jc w:val="both"/>
        <w:outlineLvl w:val="2"/>
        <w:rPr>
          <w:rFonts w:ascii="宋体" w:hAnsi="宋体" w:cs="仿宋"/>
          <w:b/>
          <w:bCs/>
          <w:sz w:val="24"/>
          <w:highlight w:val="none"/>
        </w:rPr>
      </w:pPr>
      <w:bookmarkStart w:id="84" w:name="_Toc23186"/>
      <w:r>
        <w:rPr>
          <w:rFonts w:hint="eastAsia" w:ascii="宋体" w:hAnsi="宋体" w:cs="仿宋"/>
          <w:b/>
          <w:bCs/>
          <w:sz w:val="24"/>
          <w:highlight w:val="none"/>
        </w:rPr>
        <w:t>10.1其他</w:t>
      </w:r>
      <w:bookmarkEnd w:id="8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需更补充的其他内容:见供应商须知前附表。</w:t>
      </w:r>
    </w:p>
    <w:p>
      <w:pPr>
        <w:rPr>
          <w:rFonts w:ascii="微软雅黑" w:hAnsi="微软雅黑" w:eastAsia="微软雅黑"/>
          <w:sz w:val="24"/>
          <w:szCs w:val="24"/>
          <w:highlight w:val="none"/>
          <w:lang w:val="zh-CN"/>
        </w:rPr>
      </w:pPr>
      <w:r>
        <w:rPr>
          <w:rFonts w:ascii="微软雅黑" w:hAnsi="微软雅黑" w:eastAsia="微软雅黑"/>
          <w:sz w:val="24"/>
          <w:szCs w:val="24"/>
          <w:highlight w:val="none"/>
          <w:lang w:val="zh-CN"/>
        </w:rPr>
        <w:br w:type="page"/>
      </w:r>
    </w:p>
    <w:p>
      <w:pPr>
        <w:spacing w:line="312" w:lineRule="auto"/>
        <w:jc w:val="both"/>
        <w:outlineLvl w:val="0"/>
        <w:rPr>
          <w:rFonts w:ascii="宋体" w:hAnsi="宋体" w:cs="仿宋"/>
          <w:sz w:val="30"/>
          <w:szCs w:val="30"/>
          <w:highlight w:val="none"/>
        </w:rPr>
      </w:pPr>
      <w:bookmarkStart w:id="85" w:name="_Toc9910"/>
      <w:bookmarkStart w:id="86" w:name="_Toc20116"/>
      <w:bookmarkStart w:id="87" w:name="_Toc24656"/>
      <w:r>
        <w:rPr>
          <w:rFonts w:hint="eastAsia" w:ascii="宋体" w:hAnsi="宋体" w:cs="仿宋"/>
          <w:sz w:val="30"/>
          <w:szCs w:val="30"/>
          <w:highlight w:val="none"/>
        </w:rPr>
        <w:t>附件1  开启记录表</w:t>
      </w:r>
      <w:bookmarkEnd w:id="85"/>
      <w:bookmarkEnd w:id="86"/>
      <w:bookmarkEnd w:id="87"/>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开启记录表</w:t>
      </w: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p>
    <w:p>
      <w:pPr>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开启时间：</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年</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月</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日</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时</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分</w:t>
      </w:r>
    </w:p>
    <w:tbl>
      <w:tblPr>
        <w:tblStyle w:val="20"/>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048"/>
        <w:gridCol w:w="1702"/>
        <w:gridCol w:w="1702"/>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序 号</w:t>
            </w:r>
          </w:p>
        </w:tc>
        <w:tc>
          <w:tcPr>
            <w:tcW w:w="1238"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w:t>
            </w:r>
          </w:p>
        </w:tc>
        <w:tc>
          <w:tcPr>
            <w:tcW w:w="1029"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（供应商须知前附表规定的其他应公布的信息）</w:t>
            </w:r>
          </w:p>
        </w:tc>
        <w:tc>
          <w:tcPr>
            <w:tcW w:w="1029"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报价</w:t>
            </w:r>
          </w:p>
        </w:tc>
        <w:tc>
          <w:tcPr>
            <w:tcW w:w="1029"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bl>
    <w:p>
      <w:pPr>
        <w:spacing w:line="240" w:lineRule="auto"/>
        <w:jc w:val="both"/>
        <w:rPr>
          <w:rFonts w:cs="仿宋" w:asciiTheme="minorEastAsia" w:hAnsiTheme="minorEastAsia" w:eastAsiaTheme="minorEastAsia"/>
          <w:sz w:val="24"/>
          <w:highlight w:val="none"/>
        </w:rPr>
      </w:pPr>
    </w:p>
    <w:p>
      <w:pPr>
        <w:spacing w:line="240" w:lineRule="auto"/>
        <w:ind w:firstLine="0" w:firstLineChars="0"/>
        <w:jc w:val="both"/>
        <w:rPr>
          <w:rFonts w:cs="仿宋" w:asciiTheme="minorEastAsia" w:hAnsiTheme="minorEastAsia" w:eastAsiaTheme="minorEastAsia"/>
          <w:sz w:val="24"/>
          <w:highlight w:val="none"/>
          <w:u w:val="single"/>
        </w:rPr>
      </w:pPr>
      <w:r>
        <w:rPr>
          <w:rFonts w:hint="eastAsia" w:cs="仿宋" w:asciiTheme="minorEastAsia" w:hAnsiTheme="minorEastAsia" w:eastAsiaTheme="minorEastAsia"/>
          <w:sz w:val="24"/>
          <w:highlight w:val="none"/>
        </w:rPr>
        <w:t>采购人代表：</w:t>
      </w:r>
      <w:r>
        <w:rPr>
          <w:rFonts w:hint="eastAsia"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 xml:space="preserve">      记录人：</w:t>
      </w:r>
      <w:r>
        <w:rPr>
          <w:rFonts w:hint="eastAsia"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监督人：</w:t>
      </w:r>
      <w:r>
        <w:rPr>
          <w:rFonts w:hint="eastAsia" w:cs="仿宋" w:asciiTheme="minorEastAsia" w:hAnsiTheme="minorEastAsia" w:eastAsiaTheme="minorEastAsia"/>
          <w:sz w:val="24"/>
          <w:highlight w:val="none"/>
          <w:u w:val="single"/>
        </w:rPr>
        <w:t xml:space="preserve">        </w:t>
      </w:r>
    </w:p>
    <w:p>
      <w:pPr>
        <w:spacing w:line="240" w:lineRule="auto"/>
        <w:jc w:val="both"/>
        <w:rPr>
          <w:rFonts w:cs="仿宋" w:asciiTheme="minorEastAsia" w:hAnsiTheme="minorEastAsia" w:eastAsiaTheme="minorEastAsia"/>
          <w:sz w:val="24"/>
          <w:highlight w:val="none"/>
        </w:rPr>
      </w:pPr>
    </w:p>
    <w:p>
      <w:pPr>
        <w:adjustRightInd w:val="0"/>
        <w:snapToGrid w:val="0"/>
        <w:spacing w:line="600" w:lineRule="exact"/>
        <w:ind w:firstLine="567" w:firstLineChars="189"/>
        <w:rPr>
          <w:rFonts w:ascii="宋体" w:hAnsi="宋体" w:cs="仿宋"/>
          <w:sz w:val="30"/>
          <w:szCs w:val="30"/>
          <w:highlight w:val="none"/>
        </w:rPr>
      </w:pPr>
    </w:p>
    <w:p>
      <w:pPr>
        <w:adjustRightInd w:val="0"/>
        <w:snapToGrid w:val="0"/>
        <w:spacing w:line="600" w:lineRule="exact"/>
        <w:ind w:firstLine="567" w:firstLineChars="189"/>
        <w:rPr>
          <w:rFonts w:ascii="宋体" w:hAnsi="宋体" w:cs="仿宋"/>
          <w:sz w:val="30"/>
          <w:szCs w:val="30"/>
          <w:highlight w:val="none"/>
        </w:rPr>
      </w:pPr>
    </w:p>
    <w:p>
      <w:pPr>
        <w:adjustRightInd w:val="0"/>
        <w:snapToGrid w:val="0"/>
        <w:spacing w:line="600" w:lineRule="exact"/>
        <w:ind w:firstLine="567" w:firstLineChars="189"/>
        <w:rPr>
          <w:rFonts w:ascii="宋体" w:hAnsi="宋体" w:cs="仿宋"/>
          <w:sz w:val="30"/>
          <w:szCs w:val="30"/>
          <w:highlight w:val="none"/>
        </w:rPr>
      </w:pPr>
    </w:p>
    <w:p>
      <w:pPr>
        <w:adjustRightInd w:val="0"/>
        <w:snapToGrid w:val="0"/>
        <w:spacing w:line="600" w:lineRule="exact"/>
        <w:rPr>
          <w:rFonts w:ascii="宋体" w:hAnsi="宋体" w:cs="仿宋"/>
          <w:sz w:val="30"/>
          <w:szCs w:val="30"/>
          <w:highlight w:val="none"/>
        </w:rPr>
      </w:pPr>
    </w:p>
    <w:p>
      <w:pPr>
        <w:adjustRightInd w:val="0"/>
        <w:snapToGrid w:val="0"/>
        <w:spacing w:line="600" w:lineRule="exact"/>
        <w:ind w:firstLine="567" w:firstLineChars="189"/>
        <w:rPr>
          <w:rFonts w:ascii="宋体" w:hAnsi="宋体" w:cs="仿宋"/>
          <w:sz w:val="30"/>
          <w:szCs w:val="30"/>
          <w:highlight w:val="none"/>
        </w:rPr>
      </w:pPr>
    </w:p>
    <w:p>
      <w:pPr>
        <w:pStyle w:val="17"/>
        <w:rPr>
          <w:rFonts w:ascii="宋体" w:hAnsi="宋体" w:cs="仿宋"/>
          <w:sz w:val="30"/>
          <w:szCs w:val="30"/>
          <w:highlight w:val="none"/>
        </w:rPr>
      </w:pPr>
    </w:p>
    <w:p>
      <w:pPr>
        <w:pStyle w:val="17"/>
        <w:rPr>
          <w:rFonts w:ascii="宋体" w:hAnsi="宋体" w:cs="仿宋"/>
          <w:sz w:val="30"/>
          <w:szCs w:val="30"/>
          <w:highlight w:val="none"/>
        </w:rPr>
      </w:pPr>
    </w:p>
    <w:p>
      <w:pPr>
        <w:pStyle w:val="17"/>
        <w:rPr>
          <w:rFonts w:ascii="宋体" w:hAnsi="宋体" w:cs="仿宋"/>
          <w:sz w:val="30"/>
          <w:szCs w:val="30"/>
          <w:highlight w:val="none"/>
        </w:rPr>
      </w:pPr>
    </w:p>
    <w:p>
      <w:pPr>
        <w:pStyle w:val="17"/>
        <w:rPr>
          <w:rFonts w:ascii="宋体" w:hAnsi="宋体" w:cs="仿宋"/>
          <w:sz w:val="30"/>
          <w:szCs w:val="30"/>
          <w:highlight w:val="none"/>
        </w:rPr>
      </w:pPr>
    </w:p>
    <w:p>
      <w:pPr>
        <w:pStyle w:val="17"/>
        <w:rPr>
          <w:rFonts w:ascii="宋体" w:hAnsi="宋体" w:cs="仿宋"/>
          <w:sz w:val="30"/>
          <w:szCs w:val="30"/>
          <w:highlight w:val="none"/>
        </w:rPr>
      </w:pPr>
    </w:p>
    <w:p>
      <w:pPr>
        <w:adjustRightInd w:val="0"/>
        <w:snapToGrid w:val="0"/>
        <w:spacing w:line="600" w:lineRule="exact"/>
        <w:ind w:firstLine="600" w:firstLineChars="200"/>
        <w:rPr>
          <w:rFonts w:ascii="宋体" w:hAnsi="宋体" w:cs="仿宋"/>
          <w:sz w:val="30"/>
          <w:szCs w:val="30"/>
          <w:highlight w:val="none"/>
        </w:rPr>
      </w:pPr>
    </w:p>
    <w:p>
      <w:pPr>
        <w:adjustRightInd w:val="0"/>
        <w:snapToGrid w:val="0"/>
        <w:spacing w:line="600" w:lineRule="exact"/>
        <w:ind w:firstLine="600" w:firstLineChars="200"/>
        <w:rPr>
          <w:rFonts w:ascii="宋体" w:hAnsi="宋体" w:cs="仿宋"/>
          <w:sz w:val="30"/>
          <w:szCs w:val="30"/>
          <w:highlight w:val="none"/>
        </w:rPr>
      </w:pPr>
    </w:p>
    <w:p>
      <w:pPr>
        <w:adjustRightInd w:val="0"/>
        <w:snapToGrid w:val="0"/>
        <w:spacing w:line="600" w:lineRule="exact"/>
        <w:ind w:firstLine="600" w:firstLineChars="200"/>
        <w:rPr>
          <w:rFonts w:ascii="宋体" w:hAnsi="宋体" w:cs="仿宋"/>
          <w:sz w:val="30"/>
          <w:szCs w:val="30"/>
          <w:highlight w:val="none"/>
        </w:rPr>
      </w:pPr>
      <w:r>
        <w:rPr>
          <w:rFonts w:hint="eastAsia" w:ascii="宋体" w:hAnsi="宋体" w:cs="仿宋"/>
          <w:sz w:val="30"/>
          <w:szCs w:val="30"/>
          <w:highlight w:val="none"/>
        </w:rPr>
        <w:t>附件2  问题澄清通知</w:t>
      </w: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问题澄清通知</w:t>
      </w:r>
    </w:p>
    <w:p>
      <w:pPr>
        <w:adjustRightInd w:val="0"/>
        <w:snapToGrid w:val="0"/>
        <w:spacing w:line="600" w:lineRule="exact"/>
        <w:ind w:firstLine="480" w:firstLineChars="200"/>
        <w:jc w:val="center"/>
        <w:rPr>
          <w:rFonts w:ascii="宋体" w:hAnsi="宋体" w:cs="仿宋"/>
          <w:sz w:val="24"/>
          <w:highlight w:val="none"/>
        </w:rPr>
      </w:pPr>
      <w:r>
        <w:rPr>
          <w:rFonts w:hint="eastAsia" w:ascii="宋体" w:hAnsi="宋体" w:cs="仿宋"/>
          <w:sz w:val="24"/>
          <w:highlight w:val="none"/>
        </w:rPr>
        <w:t>(编号:</w:t>
      </w:r>
      <w:r>
        <w:rPr>
          <w:rFonts w:hint="eastAsia" w:ascii="宋体" w:hAnsi="宋体" w:cs="仿宋"/>
          <w:sz w:val="24"/>
          <w:highlight w:val="none"/>
          <w:u w:val="single"/>
        </w:rPr>
        <w:t xml:space="preserve">          </w:t>
      </w:r>
      <w:r>
        <w:rPr>
          <w:rFonts w:hint="eastAsia" w:ascii="宋体" w:hAnsi="宋体" w:cs="仿宋"/>
          <w:sz w:val="24"/>
          <w:highlight w:val="none"/>
        </w:rPr>
        <w:t>）</w:t>
      </w:r>
    </w:p>
    <w:p>
      <w:pPr>
        <w:adjustRightInd w:val="0"/>
        <w:snapToGrid w:val="0"/>
        <w:spacing w:line="600" w:lineRule="exact"/>
        <w:ind w:left="210" w:leftChars="100" w:firstLine="240" w:firstLineChars="100"/>
        <w:jc w:val="both"/>
        <w:rPr>
          <w:rFonts w:ascii="宋体" w:hAnsi="宋体" w:cs="仿宋"/>
          <w:sz w:val="24"/>
          <w:highlight w:val="none"/>
          <w:u w:val="single"/>
        </w:rPr>
      </w:pPr>
      <w:r>
        <w:rPr>
          <w:rFonts w:hint="eastAsia" w:ascii="宋体" w:hAnsi="宋体" w:cs="仿宋"/>
          <w:sz w:val="24"/>
          <w:highlight w:val="none"/>
          <w:u w:val="single"/>
        </w:rPr>
        <w:t>(供应商名称):</w:t>
      </w:r>
    </w:p>
    <w:p>
      <w:pPr>
        <w:adjustRightInd w:val="0"/>
        <w:snapToGrid w:val="0"/>
        <w:spacing w:line="600" w:lineRule="exact"/>
        <w:ind w:left="210" w:leftChars="100" w:firstLine="496" w:firstLineChars="207"/>
        <w:jc w:val="both"/>
        <w:rPr>
          <w:rFonts w:ascii="宋体" w:hAnsi="宋体" w:cs="仿宋"/>
          <w:sz w:val="24"/>
          <w:highlight w:val="none"/>
        </w:rPr>
      </w:pPr>
      <w:r>
        <w:rPr>
          <w:rFonts w:hint="eastAsia" w:ascii="宋体" w:hAnsi="宋体" w:cs="仿宋"/>
          <w:sz w:val="24"/>
          <w:highlight w:val="none"/>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sz w:val="24"/>
          <w:highlight w:val="none"/>
        </w:rPr>
      </w:pPr>
      <w:r>
        <w:rPr>
          <w:rFonts w:hint="eastAsia" w:ascii="宋体" w:hAnsi="宋体" w:cs="仿宋"/>
          <w:sz w:val="24"/>
          <w:highlight w:val="none"/>
        </w:rPr>
        <w:t>1.</w:t>
      </w:r>
    </w:p>
    <w:p>
      <w:pPr>
        <w:adjustRightInd w:val="0"/>
        <w:snapToGrid w:val="0"/>
        <w:spacing w:line="600" w:lineRule="exact"/>
        <w:ind w:left="210" w:leftChars="100" w:firstLine="496" w:firstLineChars="207"/>
        <w:jc w:val="both"/>
        <w:rPr>
          <w:rFonts w:ascii="宋体" w:hAnsi="宋体" w:cs="仿宋"/>
          <w:sz w:val="24"/>
          <w:highlight w:val="none"/>
        </w:rPr>
      </w:pPr>
      <w:r>
        <w:rPr>
          <w:rFonts w:hint="eastAsia" w:ascii="宋体" w:hAnsi="宋体" w:cs="仿宋"/>
          <w:sz w:val="24"/>
          <w:highlight w:val="none"/>
        </w:rPr>
        <w:t>2.</w:t>
      </w:r>
    </w:p>
    <w:p>
      <w:pPr>
        <w:adjustRightInd w:val="0"/>
        <w:snapToGrid w:val="0"/>
        <w:spacing w:line="600" w:lineRule="exact"/>
        <w:ind w:left="508" w:leftChars="242" w:firstLine="496" w:firstLineChars="207"/>
        <w:jc w:val="both"/>
        <w:rPr>
          <w:rFonts w:ascii="宋体" w:hAnsi="宋体" w:cs="仿宋"/>
          <w:sz w:val="24"/>
          <w:highlight w:val="none"/>
        </w:rPr>
      </w:pPr>
      <w:r>
        <w:rPr>
          <w:rFonts w:hint="eastAsia" w:ascii="宋体" w:hAnsi="宋体" w:cs="仿宋"/>
          <w:sz w:val="24"/>
          <w:highlight w:val="none"/>
        </w:rPr>
        <w:t>......</w:t>
      </w:r>
    </w:p>
    <w:p>
      <w:pPr>
        <w:adjustRightInd w:val="0"/>
        <w:snapToGrid w:val="0"/>
        <w:spacing w:line="600" w:lineRule="exact"/>
        <w:ind w:left="141" w:leftChars="67" w:firstLine="566" w:firstLineChars="236"/>
        <w:jc w:val="both"/>
        <w:rPr>
          <w:rFonts w:ascii="宋体" w:hAnsi="宋体" w:cs="仿宋"/>
          <w:sz w:val="24"/>
          <w:highlight w:val="none"/>
        </w:rPr>
      </w:pPr>
      <w:r>
        <w:rPr>
          <w:rFonts w:hint="eastAsia" w:ascii="宋体" w:hAnsi="宋体" w:cs="仿宋"/>
          <w:sz w:val="24"/>
          <w:highlight w:val="none"/>
        </w:rPr>
        <w:t>请将上述问题的澄清、说明和补正于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宋体" w:hAnsi="宋体" w:cs="仿宋"/>
          <w:sz w:val="24"/>
          <w:highlight w:val="none"/>
          <w:u w:val="single"/>
        </w:rPr>
        <w:t xml:space="preserve">  </w:t>
      </w:r>
      <w:r>
        <w:rPr>
          <w:rFonts w:hint="eastAsia" w:ascii="宋体" w:hAnsi="宋体" w:cs="仿宋"/>
          <w:sz w:val="24"/>
          <w:highlight w:val="none"/>
        </w:rPr>
        <w:t>时前递交至</w:t>
      </w:r>
      <w:r>
        <w:rPr>
          <w:rFonts w:hint="eastAsia" w:ascii="宋体" w:hAnsi="宋体" w:cs="仿宋"/>
          <w:sz w:val="24"/>
          <w:highlight w:val="none"/>
          <w:u w:val="single"/>
        </w:rPr>
        <w:t>(详细地址)</w:t>
      </w:r>
      <w:r>
        <w:rPr>
          <w:rFonts w:hint="eastAsia" w:ascii="宋体" w:hAnsi="宋体" w:cs="仿宋"/>
          <w:sz w:val="24"/>
          <w:highlight w:val="none"/>
        </w:rPr>
        <w:t>或发电子邮件至</w:t>
      </w:r>
      <w:r>
        <w:rPr>
          <w:rFonts w:hint="eastAsia" w:ascii="宋体" w:hAnsi="宋体" w:cs="仿宋"/>
          <w:sz w:val="24"/>
          <w:highlight w:val="none"/>
          <w:u w:val="single"/>
        </w:rPr>
        <w:t>(电子邮箱地址)</w:t>
      </w:r>
      <w:r>
        <w:rPr>
          <w:rFonts w:hint="eastAsia" w:ascii="宋体" w:hAnsi="宋体" w:cs="仿宋"/>
          <w:sz w:val="24"/>
          <w:highlight w:val="none"/>
        </w:rPr>
        <w:t>。采用电子邮件方式的，应在</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日_时前将原件递交至</w:t>
      </w:r>
      <w:r>
        <w:rPr>
          <w:rFonts w:hint="eastAsia" w:ascii="宋体" w:hAnsi="宋体" w:cs="仿宋"/>
          <w:sz w:val="24"/>
          <w:highlight w:val="none"/>
          <w:u w:val="single"/>
        </w:rPr>
        <w:t>(详细地址)</w:t>
      </w:r>
      <w:r>
        <w:rPr>
          <w:rFonts w:hint="eastAsia" w:ascii="宋体" w:hAnsi="宋体" w:cs="仿宋"/>
          <w:sz w:val="24"/>
          <w:highlight w:val="none"/>
        </w:rPr>
        <w:t>。</w:t>
      </w:r>
    </w:p>
    <w:p>
      <w:pPr>
        <w:adjustRightInd w:val="0"/>
        <w:snapToGrid w:val="0"/>
        <w:spacing w:line="600" w:lineRule="exact"/>
        <w:ind w:left="141" w:leftChars="67" w:firstLine="566" w:firstLineChars="236"/>
        <w:jc w:val="both"/>
        <w:rPr>
          <w:rFonts w:ascii="宋体" w:hAnsi="宋体" w:cs="仿宋"/>
          <w:sz w:val="24"/>
          <w:highlight w:val="none"/>
        </w:rPr>
      </w:pPr>
    </w:p>
    <w:p>
      <w:pPr>
        <w:adjustRightInd w:val="0"/>
        <w:snapToGrid w:val="0"/>
        <w:spacing w:line="600" w:lineRule="exact"/>
        <w:ind w:left="210" w:leftChars="100" w:firstLine="240" w:firstLineChars="100"/>
        <w:jc w:val="both"/>
        <w:rPr>
          <w:rFonts w:ascii="宋体" w:hAnsi="宋体" w:cs="仿宋"/>
          <w:sz w:val="24"/>
          <w:highlight w:val="none"/>
        </w:rPr>
      </w:pPr>
    </w:p>
    <w:p>
      <w:pPr>
        <w:adjustRightInd w:val="0"/>
        <w:snapToGrid w:val="0"/>
        <w:spacing w:line="600" w:lineRule="exact"/>
        <w:ind w:left="210" w:leftChars="100" w:firstLine="240" w:firstLineChars="100"/>
        <w:jc w:val="both"/>
        <w:rPr>
          <w:rFonts w:ascii="宋体" w:hAnsi="宋体" w:cs="仿宋"/>
          <w:sz w:val="24"/>
          <w:highlight w:val="none"/>
        </w:rPr>
      </w:pPr>
    </w:p>
    <w:p>
      <w:pPr>
        <w:adjustRightInd w:val="0"/>
        <w:snapToGrid w:val="0"/>
        <w:spacing w:line="600" w:lineRule="exact"/>
        <w:ind w:left="0" w:leftChars="0" w:firstLine="0" w:firstLineChars="0"/>
        <w:jc w:val="both"/>
        <w:rPr>
          <w:rFonts w:ascii="宋体" w:hAnsi="宋体" w:cs="仿宋"/>
          <w:sz w:val="24"/>
          <w:highlight w:val="none"/>
          <w:u w:val="single"/>
        </w:rPr>
      </w:pPr>
      <w:r>
        <w:rPr>
          <w:rFonts w:hint="eastAsia" w:ascii="宋体" w:hAnsi="宋体" w:cs="仿宋"/>
          <w:sz w:val="24"/>
          <w:highlight w:val="none"/>
        </w:rPr>
        <w:t>采购人(或采购代理机构):</w:t>
      </w:r>
      <w:r>
        <w:rPr>
          <w:rFonts w:hint="eastAsia" w:ascii="宋体" w:hAnsi="宋体" w:cs="仿宋"/>
          <w:sz w:val="24"/>
          <w:highlight w:val="none"/>
          <w:u w:val="single"/>
        </w:rPr>
        <w:t>(签字或盖单位章)</w:t>
      </w:r>
    </w:p>
    <w:p>
      <w:pPr>
        <w:spacing w:line="600" w:lineRule="exact"/>
        <w:jc w:val="both"/>
        <w:rPr>
          <w:rFonts w:ascii="宋体" w:hAnsi="宋体" w:cs="仿宋"/>
          <w:sz w:val="24"/>
          <w:highlight w:val="none"/>
        </w:rPr>
      </w:pP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仿宋" w:hAnsi="仿宋" w:eastAsia="仿宋" w:cs="仿宋"/>
          <w:sz w:val="30"/>
          <w:szCs w:val="30"/>
          <w:highlight w:val="none"/>
        </w:rPr>
        <w:br w:type="page"/>
      </w:r>
    </w:p>
    <w:p>
      <w:pPr>
        <w:adjustRightInd w:val="0"/>
        <w:snapToGrid w:val="0"/>
        <w:spacing w:line="600" w:lineRule="exact"/>
        <w:ind w:firstLine="0" w:firstLineChars="0"/>
        <w:rPr>
          <w:rFonts w:ascii="宋体" w:hAnsi="宋体" w:cs="仿宋"/>
          <w:sz w:val="30"/>
          <w:szCs w:val="30"/>
          <w:highlight w:val="none"/>
        </w:rPr>
      </w:pPr>
      <w:r>
        <w:rPr>
          <w:rFonts w:hint="eastAsia" w:ascii="宋体" w:hAnsi="宋体" w:cs="仿宋"/>
          <w:sz w:val="30"/>
          <w:szCs w:val="30"/>
          <w:highlight w:val="none"/>
        </w:rPr>
        <w:t>附件3  问题的澄清</w:t>
      </w:r>
    </w:p>
    <w:p>
      <w:pPr>
        <w:adjustRightInd w:val="0"/>
        <w:snapToGrid w:val="0"/>
        <w:spacing w:line="600" w:lineRule="exact"/>
        <w:jc w:val="center"/>
        <w:rPr>
          <w:rFonts w:ascii="华文中宋" w:hAnsi="华文中宋" w:eastAsia="华文中宋" w:cs="仿宋"/>
          <w:b/>
          <w:bCs/>
          <w:sz w:val="36"/>
          <w:szCs w:val="36"/>
          <w:highlight w:val="none"/>
        </w:rPr>
      </w:pPr>
    </w:p>
    <w:p>
      <w:pPr>
        <w:adjustRightInd w:val="0"/>
        <w:snapToGrid w:val="0"/>
        <w:spacing w:line="600" w:lineRule="exact"/>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问题的澄清</w:t>
      </w:r>
    </w:p>
    <w:p>
      <w:pPr>
        <w:adjustRightInd w:val="0"/>
        <w:snapToGrid w:val="0"/>
        <w:spacing w:line="600" w:lineRule="exact"/>
        <w:ind w:firstLine="480" w:firstLineChars="200"/>
        <w:jc w:val="center"/>
        <w:rPr>
          <w:rFonts w:ascii="宋体" w:hAnsi="宋体" w:cs="仿宋"/>
          <w:sz w:val="24"/>
          <w:highlight w:val="none"/>
        </w:rPr>
      </w:pPr>
      <w:r>
        <w:rPr>
          <w:rFonts w:hint="eastAsia" w:ascii="宋体" w:hAnsi="宋体" w:cs="仿宋"/>
          <w:sz w:val="24"/>
          <w:highlight w:val="none"/>
        </w:rPr>
        <w:t>(编号:</w:t>
      </w:r>
      <w:r>
        <w:rPr>
          <w:rFonts w:hint="eastAsia" w:ascii="宋体" w:hAnsi="宋体" w:cs="仿宋"/>
          <w:sz w:val="24"/>
          <w:highlight w:val="none"/>
          <w:u w:val="single"/>
        </w:rPr>
        <w:t xml:space="preserve">                 </w:t>
      </w:r>
      <w:r>
        <w:rPr>
          <w:rFonts w:hint="eastAsia" w:ascii="宋体" w:hAnsi="宋体" w:cs="仿宋"/>
          <w:sz w:val="24"/>
          <w:highlight w:val="none"/>
        </w:rPr>
        <w:t>)</w:t>
      </w:r>
    </w:p>
    <w:p>
      <w:pPr>
        <w:adjustRightInd w:val="0"/>
        <w:snapToGrid w:val="0"/>
        <w:spacing w:line="600" w:lineRule="exact"/>
        <w:jc w:val="both"/>
        <w:rPr>
          <w:rFonts w:ascii="宋体" w:hAnsi="宋体" w:cs="仿宋"/>
          <w:sz w:val="24"/>
          <w:highlight w:val="none"/>
        </w:rPr>
      </w:pPr>
      <w:r>
        <w:rPr>
          <w:rFonts w:hint="eastAsia" w:ascii="宋体" w:hAnsi="宋体" w:cs="仿宋"/>
          <w:sz w:val="24"/>
          <w:highlight w:val="none"/>
        </w:rPr>
        <w:t>评审小组:</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问题澄清通知(编号:</w:t>
      </w:r>
      <w:r>
        <w:rPr>
          <w:rFonts w:hint="eastAsia" w:ascii="宋体" w:hAnsi="宋体" w:cs="仿宋"/>
          <w:sz w:val="24"/>
          <w:highlight w:val="none"/>
          <w:u w:val="single"/>
        </w:rPr>
        <w:t xml:space="preserve">                </w:t>
      </w:r>
      <w:r>
        <w:rPr>
          <w:rFonts w:hint="eastAsia" w:ascii="宋体" w:hAnsi="宋体" w:cs="仿宋"/>
          <w:sz w:val="24"/>
          <w:highlight w:val="none"/>
        </w:rPr>
        <w:t>)已收悉，现澄清、说明和补正如下：</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1.</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2.</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highlight w:val="none"/>
        </w:rPr>
      </w:pPr>
    </w:p>
    <w:p>
      <w:pPr>
        <w:adjustRightInd w:val="0"/>
        <w:snapToGrid w:val="0"/>
        <w:spacing w:line="600" w:lineRule="exact"/>
        <w:ind w:firstLine="4320" w:firstLineChars="1800"/>
        <w:jc w:val="both"/>
        <w:rPr>
          <w:rFonts w:ascii="宋体" w:hAnsi="宋体" w:cs="仿宋"/>
          <w:sz w:val="24"/>
          <w:highlight w:val="none"/>
          <w:u w:val="single"/>
        </w:rPr>
      </w:pPr>
      <w:r>
        <w:rPr>
          <w:rFonts w:hint="eastAsia" w:ascii="宋体" w:hAnsi="宋体" w:cs="仿宋"/>
          <w:sz w:val="24"/>
          <w:highlight w:val="none"/>
        </w:rPr>
        <w:t>供应商:</w:t>
      </w:r>
      <w:r>
        <w:rPr>
          <w:rFonts w:ascii="宋体" w:hAnsi="宋体" w:cs="仿宋"/>
          <w:sz w:val="24"/>
          <w:highlight w:val="none"/>
        </w:rPr>
        <w:t xml:space="preserve"> </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法定代表人(单位负责人)或其授权的代理人:</w:t>
      </w:r>
      <w:r>
        <w:rPr>
          <w:rFonts w:ascii="宋体" w:hAnsi="宋体" w:cs="仿宋"/>
          <w:sz w:val="24"/>
          <w:highlight w:val="none"/>
          <w:u w:val="single"/>
        </w:rPr>
        <w:t xml:space="preserve">  </w:t>
      </w:r>
      <w:r>
        <w:rPr>
          <w:rFonts w:hint="eastAsia" w:ascii="宋体" w:hAnsi="宋体" w:cs="仿宋"/>
          <w:sz w:val="24"/>
          <w:highlight w:val="none"/>
          <w:u w:val="single"/>
        </w:rPr>
        <w:t xml:space="preserve">(签字) </w:t>
      </w:r>
      <w:r>
        <w:rPr>
          <w:rFonts w:hint="eastAsia" w:ascii="宋体" w:hAnsi="宋体" w:cs="仿宋"/>
          <w:sz w:val="24"/>
          <w:highlight w:val="none"/>
        </w:rPr>
        <w:t>年</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rPr>
        <w:t>日</w:t>
      </w:r>
      <w:r>
        <w:rPr>
          <w:rFonts w:hint="eastAsia" w:ascii="宋体" w:hAnsi="宋体" w:cs="仿宋"/>
          <w:sz w:val="24"/>
          <w:highlight w:val="none"/>
        </w:rPr>
        <w:br w:type="page"/>
      </w:r>
    </w:p>
    <w:p>
      <w:pPr>
        <w:adjustRightInd w:val="0"/>
        <w:snapToGrid w:val="0"/>
        <w:spacing w:line="600" w:lineRule="exact"/>
        <w:ind w:firstLine="567" w:firstLineChars="189"/>
        <w:rPr>
          <w:rFonts w:ascii="宋体" w:hAnsi="宋体" w:cs="仿宋"/>
          <w:sz w:val="30"/>
          <w:szCs w:val="30"/>
          <w:highlight w:val="none"/>
        </w:rPr>
      </w:pPr>
      <w:r>
        <w:rPr>
          <w:rFonts w:hint="eastAsia" w:ascii="宋体" w:hAnsi="宋体" w:cs="仿宋"/>
          <w:sz w:val="30"/>
          <w:szCs w:val="30"/>
          <w:highlight w:val="none"/>
        </w:rPr>
        <w:t>附件4  成交通知书</w:t>
      </w:r>
    </w:p>
    <w:p>
      <w:pPr>
        <w:adjustRightInd w:val="0"/>
        <w:snapToGrid w:val="0"/>
        <w:spacing w:line="600" w:lineRule="exact"/>
        <w:jc w:val="center"/>
        <w:rPr>
          <w:rFonts w:ascii="华文中宋" w:hAnsi="华文中宋" w:eastAsia="华文中宋" w:cs="仿宋"/>
          <w:b/>
          <w:bCs/>
          <w:sz w:val="36"/>
          <w:szCs w:val="36"/>
          <w:highlight w:val="none"/>
        </w:rPr>
      </w:pPr>
    </w:p>
    <w:p>
      <w:pPr>
        <w:adjustRightInd w:val="0"/>
        <w:snapToGrid w:val="0"/>
        <w:spacing w:line="600" w:lineRule="exact"/>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成交通知书</w:t>
      </w:r>
    </w:p>
    <w:p>
      <w:pPr>
        <w:adjustRightInd w:val="0"/>
        <w:snapToGrid w:val="0"/>
        <w:spacing w:line="600" w:lineRule="exact"/>
        <w:ind w:firstLine="721" w:firstLineChars="200"/>
        <w:jc w:val="both"/>
        <w:rPr>
          <w:rFonts w:ascii="华文中宋" w:hAnsi="华文中宋" w:eastAsia="华文中宋" w:cs="仿宋"/>
          <w:b/>
          <w:bCs/>
          <w:sz w:val="36"/>
          <w:szCs w:val="36"/>
          <w:highlight w:val="none"/>
        </w:rPr>
      </w:pP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u w:val="single"/>
        </w:rPr>
        <w:t>(成交供应商名称)</w:t>
      </w:r>
      <w:r>
        <w:rPr>
          <w:rFonts w:hint="eastAsia" w:ascii="宋体" w:hAnsi="宋体" w:cs="仿宋"/>
          <w:sz w:val="24"/>
          <w:highlight w:val="none"/>
        </w:rPr>
        <w:t>:</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你方所递交的</w:t>
      </w:r>
      <w:r>
        <w:rPr>
          <w:rFonts w:hint="eastAsia" w:ascii="宋体" w:hAnsi="宋体" w:cs="仿宋"/>
          <w:sz w:val="24"/>
          <w:highlight w:val="none"/>
          <w:u w:val="single"/>
        </w:rPr>
        <w:t>(项目名称)</w:t>
      </w:r>
      <w:r>
        <w:rPr>
          <w:rFonts w:hint="eastAsia" w:ascii="宋体" w:hAnsi="宋体" w:cs="仿宋"/>
          <w:sz w:val="24"/>
          <w:highlight w:val="none"/>
        </w:rPr>
        <w:t>的响应文件已被我方接受，被确定为成交供应商。</w:t>
      </w:r>
    </w:p>
    <w:p>
      <w:pPr>
        <w:adjustRightInd w:val="0"/>
        <w:snapToGrid w:val="0"/>
        <w:spacing w:line="600" w:lineRule="exact"/>
        <w:ind w:firstLine="480" w:firstLineChars="200"/>
        <w:jc w:val="both"/>
        <w:rPr>
          <w:rFonts w:ascii="宋体" w:hAnsi="宋体" w:cs="仿宋"/>
          <w:sz w:val="24"/>
          <w:highlight w:val="none"/>
          <w:u w:val="single"/>
        </w:rPr>
      </w:pPr>
      <w:r>
        <w:rPr>
          <w:rFonts w:hint="eastAsia" w:ascii="宋体" w:hAnsi="宋体" w:cs="仿宋"/>
          <w:sz w:val="24"/>
          <w:highlight w:val="none"/>
        </w:rPr>
        <w:t>成交价:</w:t>
      </w:r>
      <w:r>
        <w:rPr>
          <w:rFonts w:hint="eastAsia" w:ascii="宋体" w:hAnsi="宋体" w:cs="仿宋"/>
          <w:sz w:val="24"/>
          <w:highlight w:val="none"/>
          <w:u w:val="single"/>
        </w:rPr>
        <w:t xml:space="preserve">         </w:t>
      </w:r>
      <w:r>
        <w:rPr>
          <w:rFonts w:hint="eastAsia" w:ascii="宋体" w:hAnsi="宋体" w:cs="仿宋"/>
          <w:sz w:val="24"/>
          <w:highlight w:val="none"/>
        </w:rPr>
        <w:t xml:space="preserve"> 。</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请你方在接到本通知书后的</w:t>
      </w:r>
      <w:r>
        <w:rPr>
          <w:rFonts w:hint="eastAsia" w:ascii="宋体" w:hAnsi="宋体" w:cs="仿宋"/>
          <w:sz w:val="24"/>
          <w:highlight w:val="none"/>
          <w:u w:val="single"/>
        </w:rPr>
        <w:t xml:space="preserve">    </w:t>
      </w:r>
      <w:r>
        <w:rPr>
          <w:rFonts w:hint="eastAsia" w:ascii="宋体" w:hAnsi="宋体" w:cs="仿宋"/>
          <w:sz w:val="24"/>
          <w:highlight w:val="none"/>
        </w:rPr>
        <w:t>日内到</w:t>
      </w:r>
      <w:r>
        <w:rPr>
          <w:rFonts w:hint="eastAsia" w:ascii="宋体" w:hAnsi="宋体" w:cs="仿宋"/>
          <w:sz w:val="24"/>
          <w:highlight w:val="none"/>
          <w:u w:val="single"/>
        </w:rPr>
        <w:t>(指定地点)</w:t>
      </w:r>
      <w:r>
        <w:rPr>
          <w:rFonts w:hint="eastAsia" w:ascii="宋体" w:hAnsi="宋体" w:cs="仿宋"/>
          <w:sz w:val="24"/>
          <w:highlight w:val="none"/>
        </w:rPr>
        <w:t>与我方签订采购合同，并按采购文件第二章“供应商须知”第7.6款规定向我方递交履约保证金。</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特此通知。</w:t>
      </w: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3360" w:firstLineChars="1400"/>
        <w:jc w:val="both"/>
        <w:rPr>
          <w:rFonts w:ascii="宋体" w:hAnsi="宋体" w:cs="仿宋"/>
          <w:sz w:val="24"/>
          <w:highlight w:val="none"/>
          <w:u w:val="single"/>
        </w:rPr>
      </w:pPr>
      <w:r>
        <w:rPr>
          <w:rFonts w:hint="eastAsia" w:ascii="宋体" w:hAnsi="宋体" w:cs="仿宋"/>
          <w:sz w:val="24"/>
          <w:highlight w:val="none"/>
        </w:rPr>
        <w:t>采购人(或采购代理机构):</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adjustRightInd w:val="0"/>
        <w:snapToGrid w:val="0"/>
        <w:spacing w:line="600" w:lineRule="exact"/>
        <w:ind w:firstLine="4800" w:firstLineChars="2000"/>
        <w:jc w:val="both"/>
        <w:rPr>
          <w:rFonts w:ascii="仿宋" w:hAnsi="仿宋" w:eastAsia="仿宋" w:cs="仿宋"/>
          <w:sz w:val="30"/>
          <w:szCs w:val="30"/>
          <w:highlight w:val="none"/>
        </w:rPr>
      </w:pP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仿宋" w:hAnsi="仿宋" w:eastAsia="仿宋" w:cs="仿宋"/>
          <w:sz w:val="30"/>
          <w:szCs w:val="30"/>
          <w:highlight w:val="none"/>
        </w:rPr>
        <w:br w:type="page"/>
      </w:r>
    </w:p>
    <w:p>
      <w:pPr>
        <w:pStyle w:val="17"/>
        <w:ind w:firstLine="0"/>
        <w:rPr>
          <w:rFonts w:hAnsi="宋体" w:cs="仿宋"/>
          <w:highlight w:val="none"/>
        </w:rPr>
      </w:pPr>
    </w:p>
    <w:p>
      <w:pPr>
        <w:adjustRightInd w:val="0"/>
        <w:snapToGrid w:val="0"/>
        <w:spacing w:line="600" w:lineRule="exact"/>
        <w:ind w:firstLine="567" w:firstLineChars="189"/>
        <w:rPr>
          <w:rFonts w:ascii="宋体" w:hAnsi="宋体" w:cs="仿宋"/>
          <w:sz w:val="30"/>
          <w:szCs w:val="30"/>
          <w:highlight w:val="none"/>
        </w:rPr>
      </w:pPr>
      <w:r>
        <w:rPr>
          <w:rFonts w:hint="eastAsia" w:ascii="宋体" w:hAnsi="宋体" w:cs="仿宋"/>
          <w:sz w:val="30"/>
          <w:szCs w:val="30"/>
          <w:highlight w:val="none"/>
        </w:rPr>
        <w:t>附件5  确认通知</w:t>
      </w:r>
    </w:p>
    <w:p>
      <w:pPr>
        <w:adjustRightInd w:val="0"/>
        <w:snapToGrid w:val="0"/>
        <w:spacing w:line="600" w:lineRule="exact"/>
        <w:ind w:firstLine="721" w:firstLineChars="200"/>
        <w:jc w:val="both"/>
        <w:rPr>
          <w:rFonts w:ascii="华文中宋" w:hAnsi="华文中宋" w:eastAsia="华文中宋" w:cs="仿宋"/>
          <w:b/>
          <w:bCs/>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确认通知</w:t>
      </w:r>
    </w:p>
    <w:p>
      <w:pPr>
        <w:adjustRightInd w:val="0"/>
        <w:snapToGrid w:val="0"/>
        <w:spacing w:line="600" w:lineRule="exact"/>
        <w:ind w:firstLine="721" w:firstLineChars="200"/>
        <w:jc w:val="both"/>
        <w:rPr>
          <w:rFonts w:ascii="华文中宋" w:hAnsi="华文中宋" w:eastAsia="华文中宋" w:cs="仿宋"/>
          <w:b/>
          <w:bCs/>
          <w:sz w:val="36"/>
          <w:szCs w:val="36"/>
          <w:highlight w:val="none"/>
        </w:rPr>
      </w:pPr>
    </w:p>
    <w:p>
      <w:pPr>
        <w:adjustRightInd w:val="0"/>
        <w:snapToGrid w:val="0"/>
        <w:spacing w:line="600" w:lineRule="exact"/>
        <w:ind w:firstLine="480" w:firstLineChars="200"/>
        <w:jc w:val="both"/>
        <w:rPr>
          <w:rFonts w:ascii="宋体" w:hAnsi="宋体" w:cs="仿宋"/>
          <w:b/>
          <w:bCs/>
          <w:sz w:val="24"/>
          <w:highlight w:val="none"/>
        </w:rPr>
      </w:pPr>
      <w:r>
        <w:rPr>
          <w:rFonts w:hint="eastAsia" w:ascii="宋体" w:hAnsi="宋体" w:cs="仿宋"/>
          <w:sz w:val="24"/>
          <w:highlight w:val="none"/>
          <w:u w:val="single"/>
        </w:rPr>
        <w:t xml:space="preserve">           （采购人或采购代理机构名称)</w:t>
      </w:r>
      <w:r>
        <w:rPr>
          <w:rFonts w:hint="eastAsia" w:ascii="宋体" w:hAnsi="宋体" w:cs="仿宋"/>
          <w:sz w:val="24"/>
          <w:highlight w:val="none"/>
        </w:rPr>
        <w:t>:</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你方于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日发出的的</w:t>
      </w:r>
      <w:r>
        <w:rPr>
          <w:rFonts w:hint="eastAsia" w:ascii="宋体" w:hAnsi="宋体" w:cs="仿宋"/>
          <w:sz w:val="24"/>
          <w:highlight w:val="none"/>
          <w:u w:val="single"/>
        </w:rPr>
        <w:t>(项目名称)</w:t>
      </w:r>
      <w:r>
        <w:rPr>
          <w:rFonts w:hint="eastAsia" w:ascii="宋体" w:hAnsi="宋体" w:cs="仿宋"/>
          <w:sz w:val="24"/>
          <w:highlight w:val="none"/>
        </w:rPr>
        <w:t>采购文件的澄清/修改的通知，我方已于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日收到。</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特此确认。</w:t>
      </w: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5090" w:firstLineChars="2121"/>
        <w:jc w:val="both"/>
        <w:rPr>
          <w:rFonts w:ascii="宋体" w:hAnsi="宋体" w:cs="仿宋"/>
          <w:sz w:val="24"/>
          <w:highlight w:val="none"/>
          <w:u w:val="single"/>
        </w:rPr>
      </w:pPr>
      <w:r>
        <w:rPr>
          <w:rFonts w:hint="eastAsia" w:ascii="宋体" w:hAnsi="宋体" w:cs="仿宋"/>
          <w:sz w:val="24"/>
          <w:highlight w:val="none"/>
        </w:rPr>
        <w:t>供应商:</w:t>
      </w:r>
      <w:r>
        <w:rPr>
          <w:rFonts w:ascii="宋体" w:hAnsi="宋体" w:cs="仿宋"/>
          <w:sz w:val="24"/>
          <w:highlight w:val="none"/>
        </w:rPr>
        <w:t xml:space="preserve"> </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pStyle w:val="27"/>
        <w:adjustRightInd w:val="0"/>
        <w:snapToGrid w:val="0"/>
        <w:spacing w:line="600" w:lineRule="exact"/>
        <w:ind w:firstLine="6240" w:firstLineChars="2600"/>
        <w:jc w:val="center"/>
        <w:rPr>
          <w:rFonts w:cs="仿宋"/>
          <w:highlight w:val="none"/>
        </w:rPr>
      </w:pPr>
      <w:r>
        <w:rPr>
          <w:rFonts w:hint="eastAsia" w:cs="仿宋"/>
          <w:highlight w:val="none"/>
        </w:rPr>
        <w:t>年</w:t>
      </w:r>
      <w:r>
        <w:rPr>
          <w:rFonts w:hint="eastAsia" w:cs="仿宋"/>
          <w:highlight w:val="none"/>
          <w:u w:val="single"/>
        </w:rPr>
        <w:t xml:space="preserve"> </w:t>
      </w:r>
      <w:r>
        <w:rPr>
          <w:rFonts w:cs="仿宋"/>
          <w:highlight w:val="none"/>
          <w:u w:val="single"/>
        </w:rPr>
        <w:t xml:space="preserve">   </w:t>
      </w:r>
      <w:r>
        <w:rPr>
          <w:rFonts w:hint="eastAsia" w:cs="仿宋"/>
          <w:highlight w:val="none"/>
          <w:u w:val="single"/>
        </w:rPr>
        <w:t xml:space="preserve"> </w:t>
      </w:r>
      <w:r>
        <w:rPr>
          <w:rFonts w:hint="eastAsia" w:cs="仿宋"/>
          <w:highlight w:val="none"/>
        </w:rPr>
        <w:t>月</w:t>
      </w:r>
      <w:r>
        <w:rPr>
          <w:rFonts w:hint="eastAsia" w:cs="仿宋"/>
          <w:highlight w:val="none"/>
          <w:u w:val="single"/>
        </w:rPr>
        <w:t xml:space="preserve">  </w:t>
      </w:r>
      <w:r>
        <w:rPr>
          <w:rFonts w:cs="仿宋"/>
          <w:highlight w:val="none"/>
          <w:u w:val="single"/>
        </w:rPr>
        <w:t xml:space="preserve">   </w:t>
      </w:r>
      <w:r>
        <w:rPr>
          <w:rFonts w:hint="eastAsia" w:cs="仿宋"/>
          <w:highlight w:val="none"/>
        </w:rPr>
        <w:t>日</w:t>
      </w:r>
      <w:r>
        <w:rPr>
          <w:rFonts w:hint="eastAsia" w:cs="仿宋"/>
          <w:highlight w:val="none"/>
        </w:rPr>
        <w:br w:type="page"/>
      </w:r>
    </w:p>
    <w:p>
      <w:pPr>
        <w:adjustRightInd w:val="0"/>
        <w:snapToGrid w:val="0"/>
        <w:spacing w:line="600" w:lineRule="exact"/>
        <w:jc w:val="center"/>
        <w:outlineLvl w:val="0"/>
        <w:rPr>
          <w:rFonts w:ascii="黑体" w:hAnsi="黑体" w:eastAsia="黑体" w:cs="仿宋"/>
          <w:bCs/>
          <w:sz w:val="36"/>
          <w:szCs w:val="36"/>
          <w:highlight w:val="none"/>
        </w:rPr>
      </w:pPr>
      <w:bookmarkStart w:id="88" w:name="_Toc29741"/>
      <w:bookmarkStart w:id="89" w:name="_Toc2584"/>
      <w:bookmarkStart w:id="90" w:name="_Toc7444"/>
      <w:r>
        <w:rPr>
          <w:rFonts w:hint="eastAsia" w:ascii="黑体" w:hAnsi="黑体" w:eastAsia="黑体" w:cs="仿宋"/>
          <w:bCs/>
          <w:sz w:val="36"/>
          <w:szCs w:val="36"/>
          <w:highlight w:val="none"/>
        </w:rPr>
        <w:t>第三章 评审办法</w:t>
      </w:r>
      <w:bookmarkEnd w:id="88"/>
      <w:bookmarkEnd w:id="89"/>
      <w:bookmarkEnd w:id="90"/>
    </w:p>
    <w:p>
      <w:pPr>
        <w:adjustRightInd w:val="0"/>
        <w:snapToGrid w:val="0"/>
        <w:spacing w:before="120" w:beforeLines="50" w:after="120" w:afterLines="50" w:line="312" w:lineRule="auto"/>
        <w:jc w:val="center"/>
        <w:rPr>
          <w:rFonts w:ascii="黑体" w:hAnsi="黑体" w:eastAsia="黑体" w:cs="仿宋"/>
          <w:bCs/>
          <w:sz w:val="32"/>
          <w:szCs w:val="32"/>
          <w:highlight w:val="none"/>
        </w:rPr>
      </w:pPr>
      <w:r>
        <w:rPr>
          <w:rFonts w:hint="eastAsia" w:ascii="黑体" w:hAnsi="黑体" w:eastAsia="黑体" w:cs="仿宋"/>
          <w:bCs/>
          <w:sz w:val="32"/>
          <w:szCs w:val="32"/>
          <w:highlight w:val="none"/>
        </w:rPr>
        <w:t>评审办法前附表</w:t>
      </w:r>
    </w:p>
    <w:tbl>
      <w:tblPr>
        <w:tblStyle w:val="20"/>
        <w:tblW w:w="8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155"/>
        <w:gridCol w:w="1452"/>
        <w:gridCol w:w="4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2327" w:type="dxa"/>
            <w:gridSpan w:val="2"/>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条款号及名称</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评审因素</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17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1</w:t>
            </w:r>
          </w:p>
        </w:tc>
        <w:tc>
          <w:tcPr>
            <w:tcW w:w="1155"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评审方法</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评审方法</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1172"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2.1.1</w:t>
            </w:r>
          </w:p>
        </w:tc>
        <w:tc>
          <w:tcPr>
            <w:tcW w:w="1155"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形式评审标准</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供应商名称</w:t>
            </w:r>
          </w:p>
        </w:tc>
        <w:tc>
          <w:tcPr>
            <w:tcW w:w="4983" w:type="dxa"/>
            <w:vAlign w:val="center"/>
          </w:tcPr>
          <w:p>
            <w:pPr>
              <w:widowControl/>
              <w:adjustRightInd w:val="0"/>
              <w:snapToGrid w:val="0"/>
              <w:spacing w:line="288"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响应文件签字盖章</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响应函中实质性内容</w:t>
            </w:r>
          </w:p>
        </w:tc>
        <w:tc>
          <w:tcPr>
            <w:tcW w:w="4983" w:type="dxa"/>
            <w:vAlign w:val="center"/>
          </w:tcPr>
          <w:p>
            <w:pPr>
              <w:widowControl/>
              <w:adjustRightInd w:val="0"/>
              <w:snapToGrid w:val="0"/>
              <w:spacing w:line="288"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1172"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2.1.2</w:t>
            </w:r>
          </w:p>
        </w:tc>
        <w:tc>
          <w:tcPr>
            <w:tcW w:w="1155"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资格评审标准</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依法设立</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color w:val="000000"/>
                <w:sz w:val="24"/>
                <w:highlight w:val="none"/>
              </w:rPr>
              <w:t>供应商应提供市场监管部门或其他行政机关颁发的可以合法开展业务的执照或证书。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exac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资质要求</w:t>
            </w:r>
          </w:p>
        </w:tc>
        <w:tc>
          <w:tcPr>
            <w:tcW w:w="4983" w:type="dxa"/>
            <w:vAlign w:val="center"/>
          </w:tcPr>
          <w:p>
            <w:pPr>
              <w:widowControl w:val="0"/>
              <w:spacing w:line="288" w:lineRule="auto"/>
              <w:jc w:val="both"/>
              <w:rPr>
                <w:rFonts w:ascii="宋体" w:hAnsi="宋体" w:cs="宋体"/>
                <w:color w:val="000000"/>
                <w:sz w:val="24"/>
                <w:highlight w:val="none"/>
              </w:rPr>
            </w:pPr>
            <w:r>
              <w:rPr>
                <w:rFonts w:hint="eastAsia" w:ascii="宋体" w:hAnsi="宋体" w:cs="宋体"/>
                <w:color w:val="000000"/>
                <w:sz w:val="24"/>
                <w:highlight w:val="none"/>
              </w:rPr>
              <w:t>供应商应提供相关资质证书副本的复印件，以证明供应商具有承担本项目要求的资质。</w:t>
            </w:r>
          </w:p>
          <w:p>
            <w:pPr>
              <w:widowControl/>
              <w:adjustRightInd w:val="0"/>
              <w:snapToGrid w:val="0"/>
              <w:spacing w:line="288" w:lineRule="auto"/>
              <w:jc w:val="center"/>
              <w:rPr>
                <w:rFonts w:hint="default" w:ascii="宋体" w:hAnsi="宋体" w:eastAsia="宋体" w:cs="宋体"/>
                <w:sz w:val="24"/>
                <w:highlight w:val="none"/>
                <w:lang w:val="en-US" w:eastAsia="zh-CN"/>
              </w:rPr>
            </w:pPr>
            <w:r>
              <w:rPr>
                <w:rFonts w:hint="eastAsia" w:ascii="宋体" w:hAnsi="宋体" w:cs="宋体"/>
                <w:color w:val="000000"/>
                <w:sz w:val="24"/>
                <w:highlight w:val="none"/>
              </w:rPr>
              <w:t>资质证书包括：</w:t>
            </w:r>
            <w:r>
              <w:rPr>
                <w:rFonts w:hint="eastAsia" w:ascii="宋体" w:hAnsi="宋体" w:cs="宋体"/>
                <w:color w:val="000000"/>
                <w:sz w:val="24"/>
                <w:highlight w:val="none"/>
                <w:lang w:val="en-US" w:eastAsia="zh-CN"/>
              </w:rPr>
              <w:t>建筑装修装饰工程专业承包贰</w:t>
            </w:r>
            <w:r>
              <w:rPr>
                <w:rFonts w:hint="eastAsia" w:cs="宋体" w:asciiTheme="minorEastAsia" w:hAnsiTheme="minorEastAsia" w:eastAsiaTheme="minorEastAsia"/>
                <w:color w:val="000000"/>
                <w:sz w:val="24"/>
                <w:highlight w:val="none"/>
                <w:lang w:val="en-US" w:eastAsia="zh-CN"/>
              </w:rPr>
              <w:t>级或以上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财务要求</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color w:val="000000"/>
                <w:sz w:val="24"/>
                <w:highlight w:val="none"/>
              </w:rPr>
              <w:sym w:font="Wingdings 2" w:char="0052"/>
            </w:r>
            <w:r>
              <w:rPr>
                <w:rFonts w:hint="eastAsia" w:ascii="宋体" w:hAnsi="宋体" w:cs="宋体"/>
                <w:color w:val="000000"/>
                <w:sz w:val="24"/>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exac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业绩要求</w:t>
            </w:r>
          </w:p>
        </w:tc>
        <w:tc>
          <w:tcPr>
            <w:tcW w:w="4983" w:type="dxa"/>
            <w:vAlign w:val="center"/>
          </w:tcPr>
          <w:p>
            <w:pPr>
              <w:widowControl w:val="0"/>
              <w:spacing w:line="288" w:lineRule="auto"/>
              <w:jc w:val="both"/>
              <w:rPr>
                <w:rFonts w:ascii="宋体" w:hAnsi="宋体" w:cs="宋体"/>
                <w:sz w:val="24"/>
                <w:highlight w:val="none"/>
                <w:u w:val="single"/>
              </w:rPr>
            </w:pPr>
            <w:r>
              <w:rPr>
                <w:rFonts w:hint="eastAsia" w:ascii="宋体" w:hAnsi="宋体" w:cs="宋体"/>
                <w:sz w:val="24"/>
                <w:highlight w:val="none"/>
              </w:rPr>
              <w:t>供应商应提供近年</w:t>
            </w:r>
            <w:r>
              <w:rPr>
                <w:rFonts w:hint="eastAsia" w:ascii="宋体" w:hAnsi="宋体" w:cs="宋体"/>
                <w:sz w:val="24"/>
                <w:highlight w:val="none"/>
                <w:lang w:val="en-US" w:eastAsia="zh-CN"/>
              </w:rPr>
              <w:t>相似</w:t>
            </w:r>
            <w:r>
              <w:rPr>
                <w:rFonts w:hint="eastAsia" w:ascii="宋体" w:hAnsi="宋体" w:cs="宋体"/>
                <w:sz w:val="24"/>
                <w:highlight w:val="none"/>
              </w:rPr>
              <w:t>项目</w:t>
            </w:r>
            <w:r>
              <w:rPr>
                <w:rFonts w:hint="eastAsia" w:ascii="宋体" w:hAnsi="宋体" w:cs="宋体"/>
                <w:sz w:val="24"/>
                <w:highlight w:val="none"/>
                <w:lang w:val="en-US" w:eastAsia="zh-CN"/>
              </w:rPr>
              <w:t>施工</w:t>
            </w:r>
            <w:r>
              <w:rPr>
                <w:rFonts w:hint="eastAsia" w:ascii="宋体" w:hAnsi="宋体" w:cs="宋体"/>
                <w:sz w:val="24"/>
                <w:highlight w:val="none"/>
              </w:rPr>
              <w:t>情况表（格式见第六章“响应文件格式”七、资格审查资料（三）近年的类似项目情况表），以证明供应商具有承担本项目要求的业绩。近年是指</w:t>
            </w:r>
            <w:r>
              <w:rPr>
                <w:rFonts w:hint="eastAsia" w:ascii="宋体" w:hAnsi="宋体" w:cs="宋体"/>
                <w:sz w:val="24"/>
                <w:highlight w:val="none"/>
                <w:u w:val="single"/>
              </w:rPr>
              <w:t>2019年</w:t>
            </w:r>
            <w:r>
              <w:rPr>
                <w:rFonts w:hint="eastAsia" w:ascii="宋体" w:hAnsi="宋体" w:cs="宋体"/>
                <w:sz w:val="24"/>
                <w:highlight w:val="none"/>
                <w:u w:val="single"/>
                <w:lang w:val="en-US" w:eastAsia="zh-CN"/>
              </w:rPr>
              <w:t>10</w:t>
            </w:r>
            <w:r>
              <w:rPr>
                <w:rFonts w:hint="eastAsia" w:ascii="宋体" w:hAnsi="宋体" w:cs="宋体"/>
                <w:sz w:val="24"/>
                <w:highlight w:val="none"/>
                <w:u w:val="single"/>
              </w:rPr>
              <w:t>月</w:t>
            </w:r>
            <w:r>
              <w:rPr>
                <w:rFonts w:hint="eastAsia" w:ascii="宋体" w:hAnsi="宋体" w:cs="宋体"/>
                <w:sz w:val="24"/>
                <w:highlight w:val="none"/>
              </w:rPr>
              <w:t>至</w:t>
            </w:r>
            <w:r>
              <w:rPr>
                <w:rFonts w:hint="eastAsia" w:ascii="宋体" w:hAnsi="宋体" w:cs="宋体"/>
                <w:sz w:val="24"/>
                <w:highlight w:val="none"/>
                <w:u w:val="single"/>
              </w:rPr>
              <w:t>2022年</w:t>
            </w:r>
            <w:r>
              <w:rPr>
                <w:rFonts w:hint="eastAsia" w:ascii="宋体" w:hAnsi="宋体" w:cs="宋体"/>
                <w:sz w:val="24"/>
                <w:highlight w:val="none"/>
                <w:u w:val="single"/>
                <w:lang w:val="en-US" w:eastAsia="zh-CN"/>
              </w:rPr>
              <w:t>10</w:t>
            </w:r>
            <w:r>
              <w:rPr>
                <w:rFonts w:hint="eastAsia" w:ascii="宋体" w:hAnsi="宋体" w:cs="宋体"/>
                <w:sz w:val="24"/>
                <w:highlight w:val="none"/>
                <w:u w:val="single"/>
              </w:rPr>
              <w:t>月</w:t>
            </w:r>
          </w:p>
          <w:p>
            <w:pPr>
              <w:widowControl w:val="0"/>
              <w:spacing w:line="288" w:lineRule="auto"/>
              <w:jc w:val="both"/>
              <w:rPr>
                <w:rFonts w:ascii="宋体" w:hAnsi="宋体" w:cs="宋体"/>
                <w:sz w:val="24"/>
                <w:highlight w:val="none"/>
              </w:rPr>
            </w:pPr>
            <w:r>
              <w:rPr>
                <w:rFonts w:hint="eastAsia" w:ascii="宋体" w:hAnsi="宋体" w:cs="宋体"/>
                <w:sz w:val="24"/>
                <w:highlight w:val="none"/>
              </w:rPr>
              <w:t>业绩证明材料：</w:t>
            </w:r>
          </w:p>
          <w:p>
            <w:pPr>
              <w:widowControl w:val="0"/>
              <w:spacing w:line="288" w:lineRule="auto"/>
              <w:jc w:val="both"/>
              <w:rPr>
                <w:rFonts w:hint="default" w:ascii="宋体" w:hAnsi="宋体" w:eastAsia="宋体" w:cs="宋体"/>
                <w:sz w:val="24"/>
                <w:highlight w:val="none"/>
                <w:lang w:val="en-US" w:eastAsia="zh-CN"/>
              </w:rPr>
            </w:pPr>
            <w:r>
              <w:rPr>
                <w:rFonts w:hint="eastAsia" w:ascii="宋体" w:hAnsi="宋体" w:cs="宋体"/>
                <w:sz w:val="24"/>
                <w:highlight w:val="none"/>
              </w:rPr>
              <w:sym w:font="Wingdings 2" w:char="0052"/>
            </w:r>
            <w:r>
              <w:rPr>
                <w:rFonts w:hint="eastAsia" w:ascii="宋体" w:hAnsi="宋体" w:cs="宋体"/>
                <w:sz w:val="24"/>
                <w:highlight w:val="none"/>
              </w:rPr>
              <w:t>合同/订单</w:t>
            </w:r>
          </w:p>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☑其他要求：</w:t>
            </w:r>
            <w:r>
              <w:rPr>
                <w:rFonts w:hint="eastAsia" w:ascii="宋体" w:hAnsi="宋体" w:cs="宋体"/>
                <w:sz w:val="24"/>
                <w:highlight w:val="none"/>
                <w:u w:val="single"/>
              </w:rPr>
              <w:t xml:space="preserve"> 至少提供</w:t>
            </w:r>
            <w:r>
              <w:rPr>
                <w:rFonts w:hint="eastAsia" w:ascii="宋体" w:hAnsi="宋体" w:cs="宋体"/>
                <w:sz w:val="24"/>
                <w:highlight w:val="none"/>
                <w:u w:val="single"/>
                <w:lang w:val="en-US" w:eastAsia="zh-CN"/>
              </w:rPr>
              <w:t>1</w:t>
            </w:r>
            <w:r>
              <w:rPr>
                <w:rFonts w:hint="eastAsia" w:ascii="宋体" w:hAnsi="宋体" w:cs="宋体"/>
                <w:sz w:val="24"/>
                <w:highlight w:val="none"/>
                <w:u w:val="single"/>
              </w:rPr>
              <w:t>份业绩证明材料，提供复印件并加盖单位公章。</w:t>
            </w:r>
            <w:r>
              <w:rPr>
                <w:rFonts w:hint="eastAsia" w:ascii="宋体" w:hAnsi="宋体" w:cs="宋体"/>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人员要求</w:t>
            </w:r>
          </w:p>
        </w:tc>
        <w:tc>
          <w:tcPr>
            <w:tcW w:w="4983" w:type="dxa"/>
            <w:vAlign w:val="center"/>
          </w:tcPr>
          <w:p>
            <w:pPr>
              <w:widowControl/>
              <w:adjustRightInd w:val="0"/>
              <w:snapToGrid w:val="0"/>
              <w:spacing w:line="288" w:lineRule="auto"/>
              <w:jc w:val="center"/>
              <w:rPr>
                <w:rFonts w:hint="default" w:ascii="宋体" w:hAnsi="宋体" w:eastAsia="宋体" w:cs="宋体"/>
                <w:sz w:val="24"/>
                <w:highlight w:val="none"/>
                <w:lang w:val="en-US" w:eastAsia="zh-CN"/>
              </w:rPr>
            </w:pPr>
            <w:r>
              <w:rPr>
                <w:rFonts w:hint="eastAsia" w:ascii="宋体" w:hAnsi="宋体" w:cs="宋体"/>
                <w:color w:val="000000"/>
                <w:sz w:val="24"/>
                <w:highlight w:val="none"/>
                <w:u w:val="single"/>
              </w:rPr>
              <w:sym w:font="Wingdings 2" w:char="0052"/>
            </w:r>
            <w:r>
              <w:rPr>
                <w:rFonts w:hint="eastAsia" w:ascii="宋体" w:hAnsi="宋体" w:cs="宋体"/>
                <w:color w:val="000000"/>
                <w:sz w:val="24"/>
                <w:highlight w:val="none"/>
                <w:u w:val="single"/>
              </w:rPr>
              <w:t>适用,见采购文件供应商须知前附表3.5（6）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不存在第一章第3.2款情形</w:t>
            </w:r>
          </w:p>
        </w:tc>
        <w:tc>
          <w:tcPr>
            <w:tcW w:w="4983" w:type="dxa"/>
            <w:vAlign w:val="center"/>
          </w:tcPr>
          <w:p>
            <w:pPr>
              <w:widowControl/>
              <w:adjustRightInd w:val="0"/>
              <w:snapToGrid w:val="0"/>
              <w:spacing w:line="288" w:lineRule="auto"/>
              <w:jc w:val="left"/>
              <w:rPr>
                <w:rFonts w:ascii="宋体" w:hAnsi="宋体" w:cs="宋体"/>
                <w:sz w:val="24"/>
                <w:highlight w:val="none"/>
              </w:rPr>
            </w:pPr>
            <w:r>
              <w:rPr>
                <w:rFonts w:hint="eastAsia" w:ascii="宋体" w:hAnsi="宋体" w:cs="宋体"/>
                <w:color w:val="000000"/>
                <w:sz w:val="24"/>
                <w:highlight w:val="none"/>
                <w:u w:val="single"/>
              </w:rPr>
              <w:t>信用中国</w:t>
            </w:r>
            <w:r>
              <w:rPr>
                <w:rFonts w:hint="eastAsia" w:ascii="宋体" w:hAnsi="宋体" w:cs="宋体"/>
                <w:sz w:val="24"/>
                <w:highlight w:val="none"/>
                <w:u w:val="single"/>
              </w:rPr>
              <w:t>（https://www.creditchina.gov.cn/）网站上所下载的“企业信用信息报告”第1、2页复印件。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2.1.3</w:t>
            </w:r>
          </w:p>
        </w:tc>
        <w:tc>
          <w:tcPr>
            <w:tcW w:w="1155"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响应性评审标准</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报价</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响应文件有效期</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响应方案</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质量标准</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完成期限</w:t>
            </w:r>
          </w:p>
        </w:tc>
        <w:tc>
          <w:tcPr>
            <w:tcW w:w="4983" w:type="dxa"/>
            <w:vAlign w:val="center"/>
          </w:tcPr>
          <w:p>
            <w:pPr>
              <w:widowControl/>
              <w:adjustRightInd w:val="0"/>
              <w:snapToGrid w:val="0"/>
              <w:spacing w:line="288" w:lineRule="auto"/>
              <w:jc w:val="center"/>
              <w:rPr>
                <w:rFonts w:hint="default" w:ascii="宋体" w:hAnsi="宋体" w:cs="宋体"/>
                <w:sz w:val="24"/>
                <w:highlight w:val="none"/>
                <w:lang w:val="en-US"/>
              </w:rPr>
            </w:pPr>
            <w:r>
              <w:rPr>
                <w:rFonts w:hint="eastAsia" w:ascii="宋体" w:hAnsi="宋体"/>
                <w:sz w:val="24"/>
                <w:highlight w:val="none"/>
                <w:u w:val="none"/>
                <w:lang w:val="en-US" w:eastAsia="zh-CN"/>
              </w:rPr>
              <w:t>合同签订，进场开工后20个日历日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合同条款</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对非关键条款的偏差</w:t>
            </w:r>
          </w:p>
        </w:tc>
        <w:tc>
          <w:tcPr>
            <w:tcW w:w="4983" w:type="dxa"/>
            <w:vAlign w:val="center"/>
          </w:tcPr>
          <w:p>
            <w:pPr>
              <w:widowControl w:val="0"/>
              <w:spacing w:line="288" w:lineRule="auto"/>
              <w:jc w:val="center"/>
              <w:rPr>
                <w:rFonts w:ascii="宋体" w:hAnsi="宋体" w:cs="宋体"/>
                <w:sz w:val="24"/>
                <w:highlight w:val="none"/>
              </w:rPr>
            </w:pPr>
            <w:r>
              <w:rPr>
                <w:rFonts w:hint="eastAsia" w:ascii="宋体" w:hAnsi="宋体" w:cs="宋体"/>
                <w:sz w:val="24"/>
                <w:highlight w:val="none"/>
              </w:rPr>
              <w:t>允许偏差的范围：细微偏差</w:t>
            </w:r>
          </w:p>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允许偏差的项数：</w:t>
            </w:r>
            <w:r>
              <w:rPr>
                <w:rFonts w:hint="eastAsia" w:ascii="宋体" w:hAnsi="宋体" w:cs="宋体"/>
                <w:sz w:val="24"/>
                <w:highlight w:val="none"/>
                <w:u w:val="single"/>
              </w:rPr>
              <w:t>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2.2.2</w:t>
            </w:r>
          </w:p>
        </w:tc>
        <w:tc>
          <w:tcPr>
            <w:tcW w:w="1155" w:type="dxa"/>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评审价格</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762" w:type="dxa"/>
            <w:gridSpan w:val="4"/>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327" w:type="dxa"/>
            <w:gridSpan w:val="2"/>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条款号</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条款内容</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327" w:type="dxa"/>
            <w:gridSpan w:val="2"/>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3</w:t>
            </w:r>
          </w:p>
        </w:tc>
        <w:tc>
          <w:tcPr>
            <w:tcW w:w="1452" w:type="dxa"/>
            <w:vAlign w:val="center"/>
          </w:tcPr>
          <w:p>
            <w:pPr>
              <w:widowControl w:val="0"/>
              <w:spacing w:line="288" w:lineRule="auto"/>
              <w:jc w:val="center"/>
              <w:rPr>
                <w:rFonts w:ascii="宋体" w:hAnsi="宋体" w:cs="宋体"/>
                <w:sz w:val="24"/>
                <w:highlight w:val="none"/>
              </w:rPr>
            </w:pPr>
            <w:r>
              <w:rPr>
                <w:rFonts w:hint="eastAsia" w:ascii="宋体" w:hAnsi="宋体" w:cs="宋体"/>
                <w:sz w:val="24"/>
                <w:highlight w:val="none"/>
              </w:rPr>
              <w:t>报价</w:t>
            </w:r>
          </w:p>
        </w:tc>
        <w:tc>
          <w:tcPr>
            <w:tcW w:w="4983" w:type="dxa"/>
            <w:vAlign w:val="center"/>
          </w:tcPr>
          <w:p>
            <w:pPr>
              <w:widowControl w:val="0"/>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根据2.2.2条规定，</w:t>
            </w:r>
            <w:r>
              <w:rPr>
                <w:rFonts w:hint="eastAsia" w:ascii="宋体" w:hAnsi="宋体" w:cs="宋体"/>
                <w:sz w:val="24"/>
                <w:highlight w:val="none"/>
                <w:lang w:val="en-US" w:eastAsia="zh-CN"/>
              </w:rPr>
              <w:t>本项要求提供9%的增值税专用发票，超过最高限价的作废。如果报价人提供其他税率的增值税专用发票，采购人按9%的增值税税率调整报价后参与排序。</w:t>
            </w:r>
          </w:p>
        </w:tc>
      </w:tr>
    </w:tbl>
    <w:p>
      <w:pPr>
        <w:pStyle w:val="17"/>
        <w:rPr>
          <w:rFonts w:ascii="微软雅黑" w:hAnsi="微软雅黑" w:eastAsia="微软雅黑"/>
          <w:sz w:val="24"/>
          <w:szCs w:val="24"/>
          <w:highlight w:val="none"/>
          <w:lang w:val="zh-CN"/>
        </w:rPr>
      </w:pPr>
    </w:p>
    <w:p>
      <w:pPr>
        <w:adjustRightInd w:val="0"/>
        <w:snapToGrid w:val="0"/>
        <w:spacing w:line="312" w:lineRule="auto"/>
        <w:jc w:val="center"/>
        <w:rPr>
          <w:rFonts w:hint="eastAsia" w:ascii="宋体" w:hAnsi="宋体" w:cs="仿宋"/>
          <w:b/>
          <w:bCs/>
          <w:sz w:val="36"/>
          <w:szCs w:val="36"/>
          <w:highlight w:val="none"/>
        </w:rPr>
      </w:pPr>
    </w:p>
    <w:p>
      <w:pPr>
        <w:adjustRightInd w:val="0"/>
        <w:snapToGrid w:val="0"/>
        <w:spacing w:line="312" w:lineRule="auto"/>
        <w:jc w:val="center"/>
        <w:rPr>
          <w:rFonts w:hint="eastAsia" w:ascii="宋体" w:hAnsi="宋体" w:cs="仿宋"/>
          <w:b/>
          <w:bCs/>
          <w:sz w:val="36"/>
          <w:szCs w:val="36"/>
          <w:highlight w:val="none"/>
        </w:rPr>
      </w:pPr>
    </w:p>
    <w:p>
      <w:pPr>
        <w:adjustRightInd w:val="0"/>
        <w:snapToGrid w:val="0"/>
        <w:spacing w:line="312" w:lineRule="auto"/>
        <w:jc w:val="center"/>
        <w:rPr>
          <w:rFonts w:hint="eastAsia" w:ascii="宋体" w:hAnsi="宋体" w:cs="仿宋"/>
          <w:b/>
          <w:bCs/>
          <w:sz w:val="36"/>
          <w:szCs w:val="36"/>
          <w:highlight w:val="none"/>
        </w:rPr>
      </w:pPr>
    </w:p>
    <w:p>
      <w:pPr>
        <w:adjustRightInd w:val="0"/>
        <w:snapToGrid w:val="0"/>
        <w:spacing w:line="312" w:lineRule="auto"/>
        <w:jc w:val="center"/>
        <w:rPr>
          <w:rFonts w:hint="eastAsia" w:ascii="宋体" w:hAnsi="宋体" w:cs="仿宋"/>
          <w:b/>
          <w:bCs/>
          <w:sz w:val="36"/>
          <w:szCs w:val="36"/>
          <w:highlight w:val="none"/>
        </w:rPr>
      </w:pPr>
    </w:p>
    <w:p>
      <w:pPr>
        <w:adjustRightInd w:val="0"/>
        <w:snapToGrid w:val="0"/>
        <w:spacing w:line="312" w:lineRule="auto"/>
        <w:jc w:val="center"/>
        <w:rPr>
          <w:rFonts w:hint="eastAsia" w:ascii="宋体" w:hAnsi="宋体" w:cs="仿宋"/>
          <w:b/>
          <w:bCs/>
          <w:sz w:val="36"/>
          <w:szCs w:val="36"/>
          <w:highlight w:val="none"/>
        </w:rPr>
      </w:pPr>
    </w:p>
    <w:p>
      <w:pPr>
        <w:adjustRightInd w:val="0"/>
        <w:snapToGrid w:val="0"/>
        <w:spacing w:line="312" w:lineRule="auto"/>
        <w:jc w:val="center"/>
        <w:rPr>
          <w:rFonts w:hint="eastAsia" w:ascii="宋体" w:hAnsi="宋体" w:cs="仿宋"/>
          <w:b/>
          <w:bCs/>
          <w:sz w:val="36"/>
          <w:szCs w:val="36"/>
          <w:highlight w:val="none"/>
        </w:rPr>
      </w:pPr>
    </w:p>
    <w:p>
      <w:pPr>
        <w:adjustRightInd w:val="0"/>
        <w:snapToGrid w:val="0"/>
        <w:spacing w:line="312" w:lineRule="auto"/>
        <w:jc w:val="center"/>
        <w:rPr>
          <w:rFonts w:ascii="宋体" w:hAnsi="宋体" w:cs="仿宋"/>
          <w:b/>
          <w:bCs/>
          <w:sz w:val="36"/>
          <w:szCs w:val="36"/>
          <w:highlight w:val="none"/>
        </w:rPr>
      </w:pPr>
      <w:r>
        <w:rPr>
          <w:rFonts w:hint="eastAsia" w:ascii="宋体" w:hAnsi="宋体" w:cs="仿宋"/>
          <w:b/>
          <w:bCs/>
          <w:sz w:val="36"/>
          <w:szCs w:val="36"/>
          <w:highlight w:val="none"/>
        </w:rPr>
        <w:t>评审办法正文</w:t>
      </w:r>
    </w:p>
    <w:p>
      <w:pPr>
        <w:adjustRightInd w:val="0"/>
        <w:snapToGrid w:val="0"/>
        <w:spacing w:line="312" w:lineRule="auto"/>
        <w:jc w:val="both"/>
        <w:rPr>
          <w:rFonts w:ascii="宋体" w:hAnsi="宋体" w:cs="仿宋"/>
          <w:b/>
          <w:bCs/>
          <w:sz w:val="36"/>
          <w:szCs w:val="36"/>
          <w:highlight w:val="none"/>
        </w:rPr>
      </w:pPr>
    </w:p>
    <w:p>
      <w:pPr>
        <w:adjustRightInd w:val="0"/>
        <w:snapToGrid w:val="0"/>
        <w:spacing w:line="312" w:lineRule="auto"/>
        <w:jc w:val="both"/>
        <w:outlineLvl w:val="1"/>
        <w:rPr>
          <w:rFonts w:ascii="宋体" w:hAnsi="宋体" w:cs="仿宋"/>
          <w:b/>
          <w:bCs/>
          <w:sz w:val="24"/>
          <w:highlight w:val="none"/>
        </w:rPr>
      </w:pPr>
      <w:bookmarkStart w:id="91" w:name="_Toc32267"/>
      <w:r>
        <w:rPr>
          <w:rFonts w:hint="eastAsia" w:ascii="宋体" w:hAnsi="宋体" w:cs="仿宋"/>
          <w:b/>
          <w:bCs/>
          <w:sz w:val="24"/>
          <w:highlight w:val="none"/>
        </w:rPr>
        <w:t>1评审方法(最低价法)</w:t>
      </w:r>
      <w:bookmarkEnd w:id="91"/>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12" w:lineRule="auto"/>
        <w:jc w:val="both"/>
        <w:outlineLvl w:val="1"/>
        <w:rPr>
          <w:rFonts w:ascii="宋体" w:hAnsi="宋体" w:cs="仿宋"/>
          <w:b/>
          <w:bCs/>
          <w:sz w:val="24"/>
          <w:highlight w:val="none"/>
        </w:rPr>
      </w:pPr>
      <w:bookmarkStart w:id="92" w:name="_Toc20900"/>
      <w:r>
        <w:rPr>
          <w:rFonts w:hint="eastAsia" w:ascii="宋体" w:hAnsi="宋体" w:cs="仿宋"/>
          <w:b/>
          <w:bCs/>
          <w:sz w:val="24"/>
          <w:highlight w:val="none"/>
        </w:rPr>
        <w:t>2初步评审标准和程序</w:t>
      </w:r>
      <w:bookmarkEnd w:id="92"/>
    </w:p>
    <w:p>
      <w:pPr>
        <w:adjustRightInd w:val="0"/>
        <w:snapToGrid w:val="0"/>
        <w:spacing w:line="312" w:lineRule="auto"/>
        <w:jc w:val="both"/>
        <w:outlineLvl w:val="2"/>
        <w:rPr>
          <w:rFonts w:ascii="宋体" w:hAnsi="宋体" w:cs="仿宋"/>
          <w:b/>
          <w:bCs/>
          <w:sz w:val="24"/>
          <w:highlight w:val="none"/>
        </w:rPr>
      </w:pPr>
      <w:bookmarkStart w:id="93" w:name="_Toc27472"/>
      <w:r>
        <w:rPr>
          <w:rFonts w:hint="eastAsia" w:ascii="宋体" w:hAnsi="宋体" w:cs="仿宋"/>
          <w:b/>
          <w:bCs/>
          <w:sz w:val="24"/>
          <w:highlight w:val="none"/>
        </w:rPr>
        <w:t>2.1初步评审标准</w:t>
      </w:r>
      <w:bookmarkEnd w:id="93"/>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2.1.1形式评审标准:见评审办法前附表。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2.1.2资格评审标准:见评审办法前附表。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2.1.3响应性评审标准:见评审办法前附表。</w:t>
      </w:r>
    </w:p>
    <w:p>
      <w:pPr>
        <w:adjustRightInd w:val="0"/>
        <w:snapToGrid w:val="0"/>
        <w:spacing w:line="312" w:lineRule="auto"/>
        <w:jc w:val="both"/>
        <w:outlineLvl w:val="2"/>
        <w:rPr>
          <w:rFonts w:ascii="宋体" w:hAnsi="宋体" w:cs="仿宋"/>
          <w:b/>
          <w:bCs/>
          <w:sz w:val="24"/>
          <w:highlight w:val="none"/>
        </w:rPr>
      </w:pPr>
      <w:bookmarkStart w:id="94" w:name="_Toc14610"/>
      <w:r>
        <w:rPr>
          <w:rFonts w:hint="eastAsia" w:ascii="宋体" w:hAnsi="宋体" w:cs="仿宋"/>
          <w:b/>
          <w:bCs/>
          <w:sz w:val="24"/>
          <w:highlight w:val="none"/>
        </w:rPr>
        <w:t>2.2初步评审程序</w:t>
      </w:r>
      <w:bookmarkEnd w:id="9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2.2.2除评审办法前附表另有规定外，评审价格为供应商在响应函中填报的大写含税价格，本项要求提供</w:t>
      </w:r>
      <w:r>
        <w:rPr>
          <w:rFonts w:hint="eastAsia" w:ascii="宋体" w:hAnsi="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val="en-US" w:eastAsia="zh-CN"/>
        </w:rPr>
        <w:t>%的增值税专用发票，超过最高限价的作废。如果报价人提供其他税率的增值税专用发票，</w:t>
      </w:r>
      <w:r>
        <w:rPr>
          <w:rFonts w:hint="eastAsia" w:ascii="宋体" w:hAnsi="宋体" w:cs="宋体"/>
          <w:bCs/>
          <w:color w:val="000000"/>
          <w:sz w:val="24"/>
          <w:szCs w:val="24"/>
          <w:highlight w:val="none"/>
          <w:lang w:val="en-US" w:eastAsia="zh-CN"/>
        </w:rPr>
        <w:t>采购人</w:t>
      </w:r>
      <w:r>
        <w:rPr>
          <w:rFonts w:hint="eastAsia" w:ascii="宋体" w:hAnsi="宋体" w:eastAsia="宋体" w:cs="宋体"/>
          <w:bCs/>
          <w:color w:val="000000"/>
          <w:sz w:val="24"/>
          <w:szCs w:val="24"/>
          <w:highlight w:val="none"/>
          <w:lang w:val="en-US" w:eastAsia="zh-CN"/>
        </w:rPr>
        <w:t>按</w:t>
      </w:r>
      <w:r>
        <w:rPr>
          <w:rFonts w:hint="eastAsia" w:ascii="宋体" w:hAnsi="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val="en-US" w:eastAsia="zh-CN"/>
        </w:rPr>
        <w:t>%的增值税税率调整报价后参与排序。调整后的评审价格若超过最高限价(如有)，其响应文件将被视为无效。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响应报价有算术错误及其他错误的，评审小组按以下原则要求供应商对响应报价进行修正，并要求供应商书面澄清确认。供应商拒不澄清确认的，其响应文件将被视为无效: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(1)大写金额与小写金额不一致的，以大写金额为准;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(2)总价金额与单价金额不一致的，以单价金额为准，但单价金额小数点有明显错误的除外;</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(3)报价表合计报价与分项报价的合计不一致的，以各分项报价的合价累计数为准;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(4)如果分项报价中存在缺漏项，且缺漏项内容不属于实质性偏差的，则视为缺漏项内容的价格已包含在其他分项报价之中。</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2.2.4供应商有串通，弄虚作假、行贿等违法行为的，其响应文件将被视为无效。</w:t>
      </w:r>
    </w:p>
    <w:p>
      <w:pPr>
        <w:adjustRightInd w:val="0"/>
        <w:snapToGrid w:val="0"/>
        <w:spacing w:line="312" w:lineRule="auto"/>
        <w:jc w:val="both"/>
        <w:outlineLvl w:val="1"/>
        <w:rPr>
          <w:rFonts w:ascii="宋体" w:hAnsi="宋体" w:cs="仿宋"/>
          <w:b/>
          <w:bCs/>
          <w:sz w:val="24"/>
          <w:highlight w:val="none"/>
        </w:rPr>
      </w:pPr>
      <w:bookmarkStart w:id="95" w:name="_Toc14055"/>
      <w:r>
        <w:rPr>
          <w:rFonts w:hint="eastAsia" w:ascii="宋体" w:hAnsi="宋体" w:cs="仿宋"/>
          <w:b/>
          <w:bCs/>
          <w:sz w:val="24"/>
          <w:highlight w:val="none"/>
        </w:rPr>
        <w:t>3详细评审标准和程序(最低价法)</w:t>
      </w:r>
      <w:bookmarkEnd w:id="95"/>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评审小组对评审价格进行比较后，按照评审价格由低到高的顺序对供应商排序。供应商评审价格相等时，按照评审办法前附表的规定确定供应商优先顺序。</w:t>
      </w:r>
    </w:p>
    <w:p>
      <w:pPr>
        <w:adjustRightInd w:val="0"/>
        <w:snapToGrid w:val="0"/>
        <w:spacing w:line="312" w:lineRule="auto"/>
        <w:jc w:val="both"/>
        <w:outlineLvl w:val="1"/>
        <w:rPr>
          <w:rFonts w:ascii="宋体" w:hAnsi="宋体" w:cs="仿宋"/>
          <w:b/>
          <w:bCs/>
          <w:sz w:val="24"/>
          <w:highlight w:val="none"/>
        </w:rPr>
      </w:pPr>
      <w:bookmarkStart w:id="96" w:name="_Toc8648"/>
      <w:r>
        <w:rPr>
          <w:rFonts w:hint="eastAsia" w:ascii="宋体" w:hAnsi="宋体" w:cs="仿宋"/>
          <w:b/>
          <w:bCs/>
          <w:sz w:val="24"/>
          <w:highlight w:val="none"/>
        </w:rPr>
        <w:t>4评审结果</w:t>
      </w:r>
      <w:bookmarkEnd w:id="96"/>
    </w:p>
    <w:p>
      <w:pPr>
        <w:adjustRightInd w:val="0"/>
        <w:snapToGrid w:val="0"/>
        <w:spacing w:line="312" w:lineRule="auto"/>
        <w:jc w:val="both"/>
        <w:outlineLvl w:val="2"/>
        <w:rPr>
          <w:rFonts w:ascii="宋体" w:hAnsi="宋体" w:cs="仿宋"/>
          <w:b/>
          <w:bCs/>
          <w:sz w:val="24"/>
          <w:highlight w:val="none"/>
        </w:rPr>
      </w:pPr>
      <w:bookmarkStart w:id="97" w:name="_Toc9975"/>
      <w:r>
        <w:rPr>
          <w:rFonts w:hint="eastAsia" w:ascii="宋体" w:hAnsi="宋体" w:cs="仿宋"/>
          <w:b/>
          <w:bCs/>
          <w:sz w:val="24"/>
          <w:highlight w:val="none"/>
        </w:rPr>
        <w:t>4.1提交书面评审报告</w:t>
      </w:r>
      <w:bookmarkEnd w:id="97"/>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评审小组完成评审后，应当向采购人提交书面评审报告。</w:t>
      </w:r>
    </w:p>
    <w:p>
      <w:pPr>
        <w:adjustRightInd w:val="0"/>
        <w:snapToGrid w:val="0"/>
        <w:spacing w:line="312" w:lineRule="auto"/>
        <w:jc w:val="both"/>
        <w:outlineLvl w:val="2"/>
        <w:rPr>
          <w:rFonts w:ascii="宋体" w:hAnsi="宋体" w:cs="仿宋"/>
          <w:b/>
          <w:bCs/>
          <w:sz w:val="24"/>
          <w:highlight w:val="none"/>
        </w:rPr>
      </w:pPr>
      <w:bookmarkStart w:id="98" w:name="_Toc11561"/>
      <w:r>
        <w:rPr>
          <w:rFonts w:hint="eastAsia" w:ascii="宋体" w:hAnsi="宋体" w:cs="仿宋"/>
          <w:b/>
          <w:bCs/>
          <w:sz w:val="24"/>
          <w:highlight w:val="none"/>
        </w:rPr>
        <w:t>4.2推荐成交候选供应商排序要求及数量</w:t>
      </w:r>
      <w:bookmarkEnd w:id="9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评审小组应在书面评审报告中按照供应商排列的优先顺序向采购人推荐成交候选供应商(排序或不排序)。成交候选供应商的排序要求及数量见第二章“供应商须知”。</w:t>
      </w:r>
    </w:p>
    <w:p>
      <w:pPr>
        <w:rPr>
          <w:rFonts w:ascii="微软雅黑" w:hAnsi="微软雅黑" w:eastAsia="微软雅黑"/>
          <w:sz w:val="24"/>
          <w:szCs w:val="24"/>
          <w:highlight w:val="none"/>
          <w:lang w:val="zh-CN"/>
        </w:rPr>
      </w:pPr>
      <w:r>
        <w:rPr>
          <w:rFonts w:ascii="微软雅黑" w:hAnsi="微软雅黑" w:eastAsia="微软雅黑"/>
          <w:sz w:val="24"/>
          <w:szCs w:val="24"/>
          <w:highlight w:val="none"/>
          <w:lang w:val="zh-CN"/>
        </w:rPr>
        <w:br w:type="page"/>
      </w:r>
    </w:p>
    <w:p>
      <w:pPr>
        <w:pStyle w:val="27"/>
        <w:spacing w:line="600" w:lineRule="exact"/>
        <w:ind w:firstLine="0" w:firstLineChars="0"/>
        <w:jc w:val="center"/>
        <w:outlineLvl w:val="0"/>
        <w:rPr>
          <w:rFonts w:ascii="黑体" w:hAnsi="黑体" w:eastAsia="黑体" w:cs="仿宋"/>
          <w:b/>
          <w:color w:val="000000"/>
          <w:sz w:val="36"/>
          <w:szCs w:val="36"/>
          <w:highlight w:val="none"/>
        </w:rPr>
      </w:pPr>
      <w:bookmarkStart w:id="99" w:name="_Toc32405"/>
      <w:bookmarkStart w:id="100" w:name="_Toc25540"/>
      <w:bookmarkStart w:id="101" w:name="_Toc14680"/>
      <w:r>
        <w:rPr>
          <w:rFonts w:hint="eastAsia" w:ascii="黑体" w:hAnsi="黑体" w:eastAsia="黑体" w:cs="仿宋"/>
          <w:b/>
          <w:color w:val="000000"/>
          <w:sz w:val="36"/>
          <w:szCs w:val="36"/>
          <w:highlight w:val="none"/>
        </w:rPr>
        <w:t>第四章  合同条款及格式</w:t>
      </w:r>
      <w:bookmarkEnd w:id="99"/>
      <w:bookmarkEnd w:id="100"/>
      <w:bookmarkEnd w:id="101"/>
    </w:p>
    <w:p>
      <w:pPr>
        <w:rPr>
          <w:highlight w:val="none"/>
        </w:rPr>
      </w:pPr>
    </w:p>
    <w:p>
      <w:pPr>
        <w:jc w:val="center"/>
        <w:rPr>
          <w:highlight w:val="none"/>
          <w:u w:val="single"/>
        </w:rPr>
      </w:pPr>
      <w:r>
        <w:rPr>
          <w:rFonts w:hint="eastAsia"/>
          <w:highlight w:val="none"/>
        </w:rPr>
        <w:t xml:space="preserve">                                               合同编号：</w:t>
      </w:r>
    </w:p>
    <w:p>
      <w:pPr>
        <w:jc w:val="both"/>
        <w:rPr>
          <w:highlight w:val="none"/>
          <w:u w:val="single"/>
        </w:rPr>
      </w:pPr>
    </w:p>
    <w:p>
      <w:pPr>
        <w:jc w:val="both"/>
        <w:rPr>
          <w:highlight w:val="none"/>
          <w:u w:val="single"/>
        </w:rPr>
      </w:pPr>
    </w:p>
    <w:p>
      <w:pPr>
        <w:widowControl w:val="0"/>
        <w:adjustRightInd w:val="0"/>
        <w:snapToGrid w:val="0"/>
        <w:spacing w:line="360" w:lineRule="auto"/>
        <w:jc w:val="center"/>
        <w:outlineLvl w:val="1"/>
        <w:rPr>
          <w:rFonts w:hint="default" w:ascii="黑体" w:hAnsi="黑体" w:eastAsia="黑体" w:cs="黑体"/>
          <w:bCs/>
          <w:sz w:val="32"/>
          <w:szCs w:val="32"/>
          <w:highlight w:val="none"/>
          <w:lang w:val="en-US" w:eastAsia="zh-CN"/>
        </w:rPr>
      </w:pPr>
      <w:bookmarkStart w:id="102" w:name="_Toc1298"/>
      <w:r>
        <w:rPr>
          <w:rFonts w:hint="eastAsia" w:ascii="黑体" w:hAnsi="黑体" w:eastAsia="黑体" w:cs="黑体"/>
          <w:bCs/>
          <w:sz w:val="32"/>
          <w:szCs w:val="32"/>
          <w:highlight w:val="none"/>
          <w:lang w:val="en-US" w:eastAsia="zh-CN"/>
        </w:rPr>
        <w:t>城陵矶港办公大楼外墙真石漆施工项目</w:t>
      </w:r>
    </w:p>
    <w:bookmarkEnd w:id="102"/>
    <w:p>
      <w:pPr>
        <w:widowControl w:val="0"/>
        <w:adjustRightInd w:val="0"/>
        <w:snapToGrid w:val="0"/>
        <w:spacing w:line="360" w:lineRule="auto"/>
        <w:jc w:val="center"/>
        <w:rPr>
          <w:rFonts w:hint="eastAsia" w:ascii="黑体" w:hAnsi="黑体" w:eastAsia="黑体" w:cs="黑体"/>
          <w:bCs/>
          <w:sz w:val="32"/>
          <w:szCs w:val="32"/>
          <w:highlight w:val="none"/>
        </w:rPr>
      </w:pPr>
    </w:p>
    <w:p>
      <w:pPr>
        <w:spacing w:line="360" w:lineRule="auto"/>
        <w:jc w:val="both"/>
        <w:rPr>
          <w:b/>
          <w:bCs/>
          <w:sz w:val="44"/>
          <w:szCs w:val="44"/>
          <w:highlight w:val="none"/>
        </w:rPr>
      </w:pPr>
    </w:p>
    <w:p>
      <w:pPr>
        <w:pStyle w:val="17"/>
        <w:rPr>
          <w:b/>
          <w:bCs/>
          <w:sz w:val="44"/>
          <w:szCs w:val="44"/>
          <w:highlight w:val="none"/>
        </w:rPr>
      </w:pPr>
    </w:p>
    <w:p>
      <w:pPr>
        <w:pStyle w:val="17"/>
        <w:rPr>
          <w:b/>
          <w:bCs/>
          <w:sz w:val="44"/>
          <w:szCs w:val="44"/>
          <w:highlight w:val="none"/>
        </w:rPr>
      </w:pPr>
    </w:p>
    <w:p>
      <w:pPr>
        <w:pStyle w:val="17"/>
        <w:ind w:firstLine="0"/>
        <w:rPr>
          <w:b/>
          <w:bCs/>
          <w:sz w:val="44"/>
          <w:szCs w:val="44"/>
          <w:highlight w:val="none"/>
        </w:rPr>
      </w:pPr>
    </w:p>
    <w:p>
      <w:pPr>
        <w:pStyle w:val="17"/>
        <w:rPr>
          <w:b/>
          <w:bCs/>
          <w:sz w:val="44"/>
          <w:szCs w:val="44"/>
          <w:highlight w:val="none"/>
        </w:rPr>
      </w:pPr>
    </w:p>
    <w:p>
      <w:pPr>
        <w:pStyle w:val="17"/>
        <w:rPr>
          <w:b/>
          <w:bCs/>
          <w:sz w:val="44"/>
          <w:szCs w:val="44"/>
          <w:highlight w:val="none"/>
        </w:rPr>
      </w:pPr>
    </w:p>
    <w:p>
      <w:pPr>
        <w:pStyle w:val="17"/>
        <w:rPr>
          <w:rFonts w:hint="eastAsia" w:ascii="黑体" w:hAnsi="黑体" w:eastAsia="黑体" w:cs="Times New Roman"/>
          <w:snapToGrid/>
          <w:kern w:val="2"/>
          <w:sz w:val="32"/>
          <w:szCs w:val="32"/>
          <w:highlight w:val="none"/>
          <w:lang w:val="en-US" w:eastAsia="zh-CN" w:bidi="ar-SA"/>
        </w:rPr>
      </w:pPr>
    </w:p>
    <w:p>
      <w:pPr>
        <w:widowControl w:val="0"/>
        <w:adjustRightInd w:val="0"/>
        <w:snapToGrid w:val="0"/>
        <w:spacing w:line="360" w:lineRule="auto"/>
        <w:jc w:val="both"/>
        <w:outlineLvl w:val="1"/>
        <w:rPr>
          <w:rFonts w:hint="default" w:ascii="黑体" w:hAnsi="黑体" w:eastAsia="黑体" w:cs="黑体"/>
          <w:bCs/>
          <w:sz w:val="32"/>
          <w:szCs w:val="32"/>
          <w:highlight w:val="none"/>
          <w:lang w:val="en-US" w:eastAsia="zh-CN"/>
        </w:rPr>
      </w:pPr>
      <w:r>
        <w:rPr>
          <w:rFonts w:hint="eastAsia" w:ascii="黑体" w:hAnsi="黑体" w:eastAsia="黑体" w:cs="Times New Roman"/>
          <w:snapToGrid/>
          <w:kern w:val="2"/>
          <w:sz w:val="32"/>
          <w:szCs w:val="32"/>
          <w:highlight w:val="none"/>
          <w:lang w:val="en-US" w:eastAsia="zh-CN" w:bidi="ar-SA"/>
        </w:rPr>
        <w:t>项目名称：</w:t>
      </w:r>
      <w:r>
        <w:rPr>
          <w:rFonts w:hint="eastAsia" w:ascii="黑体" w:hAnsi="黑体" w:eastAsia="黑体" w:cs="黑体"/>
          <w:bCs/>
          <w:sz w:val="32"/>
          <w:szCs w:val="32"/>
          <w:highlight w:val="none"/>
          <w:lang w:val="en-US" w:eastAsia="zh-CN"/>
        </w:rPr>
        <w:t>城陵矶港办公大楼外墙真石漆施工项目</w:t>
      </w:r>
    </w:p>
    <w:p>
      <w:pPr>
        <w:keepNext w:val="0"/>
        <w:keepLines w:val="0"/>
        <w:pageBreakBefore w:val="0"/>
        <w:widowControl/>
        <w:kinsoku/>
        <w:wordWrap/>
        <w:overflowPunct/>
        <w:topLinePunct w:val="0"/>
        <w:autoSpaceDE w:val="0"/>
        <w:autoSpaceDN/>
        <w:bidi w:val="0"/>
        <w:adjustRightInd/>
        <w:snapToGrid/>
        <w:spacing w:line="600" w:lineRule="exact"/>
        <w:ind w:left="1600" w:hanging="1600" w:hangingChars="500"/>
        <w:jc w:val="both"/>
        <w:textAlignment w:val="auto"/>
        <w:rPr>
          <w:rFonts w:hint="default" w:ascii="黑体" w:hAnsi="黑体" w:eastAsia="黑体" w:cs="Times New Roman"/>
          <w:snapToGrid/>
          <w:kern w:val="2"/>
          <w:sz w:val="32"/>
          <w:szCs w:val="32"/>
          <w:highlight w:val="none"/>
          <w:lang w:val="en-US" w:eastAsia="zh-CN" w:bidi="ar-SA"/>
        </w:rPr>
      </w:pPr>
    </w:p>
    <w:p>
      <w:pPr>
        <w:keepNext w:val="0"/>
        <w:keepLines w:val="0"/>
        <w:pageBreakBefore w:val="0"/>
        <w:widowControl w:val="0"/>
        <w:kinsoku/>
        <w:wordWrap/>
        <w:overflowPunct/>
        <w:topLinePunct w:val="0"/>
        <w:autoSpaceDN/>
        <w:bidi w:val="0"/>
        <w:adjustRightInd/>
        <w:snapToGrid w:val="0"/>
        <w:spacing w:line="240" w:lineRule="auto"/>
        <w:textAlignment w:val="auto"/>
        <w:outlineLvl w:val="2"/>
        <w:rPr>
          <w:rFonts w:hint="default" w:ascii="黑体" w:hAnsi="黑体" w:eastAsia="黑体" w:cs="Times New Roman"/>
          <w:snapToGrid/>
          <w:kern w:val="2"/>
          <w:sz w:val="32"/>
          <w:szCs w:val="32"/>
          <w:highlight w:val="none"/>
          <w:lang w:val="en-US" w:eastAsia="zh-CN" w:bidi="ar-SA"/>
        </w:rPr>
      </w:pPr>
      <w:bookmarkStart w:id="103" w:name="_Toc12219"/>
      <w:r>
        <w:rPr>
          <w:rFonts w:hint="eastAsia" w:ascii="黑体" w:hAnsi="黑体" w:eastAsia="黑体" w:cs="Times New Roman"/>
          <w:snapToGrid/>
          <w:kern w:val="2"/>
          <w:sz w:val="32"/>
          <w:szCs w:val="32"/>
          <w:highlight w:val="none"/>
          <w:lang w:val="en-US" w:eastAsia="zh-CN" w:bidi="ar-SA"/>
        </w:rPr>
        <w:t xml:space="preserve"> </w:t>
      </w:r>
    </w:p>
    <w:p>
      <w:pPr>
        <w:keepNext w:val="0"/>
        <w:keepLines w:val="0"/>
        <w:pageBreakBefore w:val="0"/>
        <w:widowControl w:val="0"/>
        <w:kinsoku/>
        <w:wordWrap/>
        <w:overflowPunct/>
        <w:topLinePunct w:val="0"/>
        <w:autoSpaceDN/>
        <w:bidi w:val="0"/>
        <w:adjustRightInd/>
        <w:snapToGrid w:val="0"/>
        <w:spacing w:line="240" w:lineRule="auto"/>
        <w:textAlignment w:val="auto"/>
        <w:outlineLvl w:val="2"/>
        <w:rPr>
          <w:rFonts w:hint="eastAsia" w:ascii="黑体" w:hAnsi="黑体" w:eastAsia="黑体" w:cs="Times New Roman"/>
          <w:snapToGrid/>
          <w:kern w:val="2"/>
          <w:sz w:val="32"/>
          <w:szCs w:val="32"/>
          <w:highlight w:val="none"/>
          <w:lang w:val="en-US" w:eastAsia="zh-CN" w:bidi="ar-SA"/>
        </w:rPr>
      </w:pPr>
      <w:r>
        <w:rPr>
          <w:rFonts w:hint="eastAsia" w:ascii="黑体" w:hAnsi="黑体" w:eastAsia="黑体" w:cs="Times New Roman"/>
          <w:snapToGrid/>
          <w:kern w:val="2"/>
          <w:sz w:val="32"/>
          <w:szCs w:val="32"/>
          <w:highlight w:val="none"/>
          <w:lang w:val="en-US" w:eastAsia="zh-CN" w:bidi="ar-SA"/>
        </w:rPr>
        <w:t>发 包 人：湖南港产科技有限公司</w:t>
      </w:r>
      <w:bookmarkEnd w:id="103"/>
    </w:p>
    <w:p>
      <w:pPr>
        <w:widowControl w:val="0"/>
        <w:snapToGrid w:val="0"/>
        <w:spacing w:line="240" w:lineRule="auto"/>
        <w:outlineLvl w:val="9"/>
        <w:rPr>
          <w:rFonts w:ascii="黑体" w:hAnsi="黑体" w:eastAsia="黑体"/>
          <w:sz w:val="32"/>
          <w:szCs w:val="32"/>
          <w:highlight w:val="none"/>
        </w:rPr>
      </w:pPr>
    </w:p>
    <w:p>
      <w:pPr>
        <w:widowControl w:val="0"/>
        <w:snapToGrid w:val="0"/>
        <w:spacing w:line="240" w:lineRule="auto"/>
        <w:outlineLvl w:val="2"/>
        <w:rPr>
          <w:rFonts w:ascii="黑体" w:hAnsi="黑体" w:eastAsia="黑体"/>
          <w:sz w:val="32"/>
          <w:szCs w:val="32"/>
          <w:highlight w:val="none"/>
        </w:rPr>
      </w:pPr>
      <w:bookmarkStart w:id="104" w:name="_Toc10803"/>
      <w:r>
        <w:rPr>
          <w:rFonts w:hint="eastAsia" w:ascii="黑体" w:hAnsi="黑体" w:eastAsia="黑体"/>
          <w:sz w:val="32"/>
          <w:szCs w:val="32"/>
          <w:highlight w:val="none"/>
        </w:rPr>
        <w:t>承</w:t>
      </w:r>
      <w:r>
        <w:rPr>
          <w:rFonts w:ascii="黑体" w:hAnsi="黑体" w:eastAsia="黑体"/>
          <w:sz w:val="32"/>
          <w:szCs w:val="32"/>
          <w:highlight w:val="none"/>
        </w:rPr>
        <w:t xml:space="preserve"> </w:t>
      </w:r>
      <w:r>
        <w:rPr>
          <w:rFonts w:hint="eastAsia" w:ascii="黑体" w:hAnsi="黑体" w:eastAsia="黑体"/>
          <w:sz w:val="32"/>
          <w:szCs w:val="32"/>
          <w:highlight w:val="none"/>
        </w:rPr>
        <w:t>包</w:t>
      </w:r>
      <w:r>
        <w:rPr>
          <w:rFonts w:ascii="黑体" w:hAnsi="黑体" w:eastAsia="黑体"/>
          <w:sz w:val="32"/>
          <w:szCs w:val="32"/>
          <w:highlight w:val="none"/>
        </w:rPr>
        <w:t xml:space="preserve"> </w:t>
      </w:r>
      <w:r>
        <w:rPr>
          <w:rFonts w:hint="eastAsia" w:ascii="黑体" w:hAnsi="黑体" w:eastAsia="黑体"/>
          <w:sz w:val="32"/>
          <w:szCs w:val="32"/>
          <w:highlight w:val="none"/>
        </w:rPr>
        <w:t>人：</w:t>
      </w:r>
      <w:bookmarkEnd w:id="104"/>
    </w:p>
    <w:p>
      <w:pPr>
        <w:widowControl w:val="0"/>
        <w:snapToGrid w:val="0"/>
        <w:spacing w:line="240" w:lineRule="auto"/>
        <w:outlineLvl w:val="9"/>
        <w:rPr>
          <w:rFonts w:ascii="黑体" w:hAnsi="黑体" w:eastAsia="黑体"/>
          <w:sz w:val="32"/>
          <w:szCs w:val="32"/>
          <w:highlight w:val="none"/>
        </w:rPr>
      </w:pPr>
    </w:p>
    <w:p>
      <w:pPr>
        <w:widowControl w:val="0"/>
        <w:snapToGrid w:val="0"/>
        <w:spacing w:line="240" w:lineRule="auto"/>
        <w:outlineLvl w:val="9"/>
        <w:rPr>
          <w:rFonts w:ascii="黑体" w:hAnsi="黑体" w:eastAsia="黑体"/>
          <w:sz w:val="32"/>
          <w:szCs w:val="32"/>
          <w:highlight w:val="none"/>
        </w:rPr>
      </w:pPr>
    </w:p>
    <w:p>
      <w:pPr>
        <w:widowControl w:val="0"/>
        <w:snapToGrid w:val="0"/>
        <w:spacing w:line="240" w:lineRule="auto"/>
        <w:outlineLvl w:val="2"/>
        <w:rPr>
          <w:rFonts w:ascii="黑体" w:hAnsi="黑体" w:eastAsia="黑体"/>
          <w:sz w:val="32"/>
          <w:szCs w:val="32"/>
          <w:highlight w:val="none"/>
        </w:rPr>
      </w:pPr>
      <w:bookmarkStart w:id="105" w:name="_Toc6365"/>
      <w:r>
        <w:rPr>
          <w:rFonts w:hint="eastAsia" w:ascii="黑体" w:hAnsi="黑体" w:eastAsia="黑体"/>
          <w:sz w:val="32"/>
          <w:szCs w:val="32"/>
          <w:highlight w:val="none"/>
        </w:rPr>
        <w:t>签订日期：</w:t>
      </w:r>
      <w:r>
        <w:rPr>
          <w:rFonts w:ascii="黑体" w:hAnsi="黑体" w:eastAsia="黑体"/>
          <w:sz w:val="32"/>
          <w:szCs w:val="32"/>
          <w:highlight w:val="none"/>
        </w:rPr>
        <w:t>202</w:t>
      </w:r>
      <w:r>
        <w:rPr>
          <w:rFonts w:hint="eastAsia" w:ascii="黑体" w:hAnsi="黑体" w:eastAsia="黑体"/>
          <w:sz w:val="32"/>
          <w:szCs w:val="32"/>
          <w:highlight w:val="none"/>
        </w:rPr>
        <w:t>2年</w:t>
      </w:r>
      <w:r>
        <w:rPr>
          <w:rFonts w:ascii="黑体" w:hAnsi="黑体" w:eastAsia="黑体"/>
          <w:sz w:val="32"/>
          <w:szCs w:val="32"/>
          <w:highlight w:val="none"/>
        </w:rPr>
        <w:t xml:space="preserve">   </w:t>
      </w:r>
      <w:r>
        <w:rPr>
          <w:rFonts w:hint="eastAsia" w:ascii="黑体" w:hAnsi="黑体" w:eastAsia="黑体"/>
          <w:sz w:val="32"/>
          <w:szCs w:val="32"/>
          <w:highlight w:val="none"/>
        </w:rPr>
        <w:t>月</w:t>
      </w:r>
      <w:r>
        <w:rPr>
          <w:rFonts w:ascii="黑体" w:hAnsi="黑体" w:eastAsia="黑体"/>
          <w:sz w:val="32"/>
          <w:szCs w:val="32"/>
          <w:highlight w:val="none"/>
        </w:rPr>
        <w:t xml:space="preserve">   </w:t>
      </w:r>
      <w:r>
        <w:rPr>
          <w:rFonts w:hint="eastAsia" w:ascii="黑体" w:hAnsi="黑体" w:eastAsia="黑体"/>
          <w:sz w:val="32"/>
          <w:szCs w:val="32"/>
          <w:highlight w:val="none"/>
        </w:rPr>
        <w:t>日</w:t>
      </w:r>
      <w:bookmarkEnd w:id="105"/>
    </w:p>
    <w:p>
      <w:pPr>
        <w:widowControl w:val="0"/>
        <w:snapToGrid w:val="0"/>
        <w:spacing w:line="240" w:lineRule="auto"/>
        <w:outlineLvl w:val="9"/>
        <w:rPr>
          <w:rFonts w:ascii="黑体" w:hAnsi="黑体" w:eastAsia="黑体"/>
          <w:sz w:val="32"/>
          <w:szCs w:val="32"/>
          <w:highlight w:val="none"/>
          <w:u w:val="single"/>
        </w:rPr>
        <w:sectPr>
          <w:footerReference r:id="rId7" w:type="default"/>
          <w:pgSz w:w="11900" w:h="16840"/>
          <w:pgMar w:top="1440" w:right="1800" w:bottom="1440" w:left="1800" w:header="720" w:footer="720" w:gutter="0"/>
          <w:pgNumType w:start="1"/>
          <w:cols w:space="720" w:num="1"/>
          <w:docGrid w:linePitch="286" w:charSpace="0"/>
        </w:sectPr>
      </w:pPr>
    </w:p>
    <w:p>
      <w:pPr>
        <w:widowControl w:val="0"/>
        <w:adjustRightInd w:val="0"/>
        <w:snapToGrid w:val="0"/>
        <w:spacing w:line="360" w:lineRule="auto"/>
        <w:jc w:val="center"/>
        <w:outlineLvl w:val="1"/>
        <w:rPr>
          <w:rFonts w:hint="default"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城陵矶港办公大楼外墙真石漆项目施工合同</w:t>
      </w:r>
    </w:p>
    <w:p>
      <w:pPr>
        <w:widowControl w:val="0"/>
        <w:adjustRightInd w:val="0"/>
        <w:snapToGrid w:val="0"/>
        <w:spacing w:line="360" w:lineRule="auto"/>
        <w:jc w:val="center"/>
        <w:outlineLvl w:val="1"/>
        <w:rPr>
          <w:rFonts w:hint="eastAsia" w:ascii="宋体" w:hAnsi="宋体" w:eastAsia="宋体" w:cs="宋体"/>
          <w:sz w:val="32"/>
          <w:szCs w:val="32"/>
          <w:lang w:val="en-US" w:eastAsia="zh-CN"/>
        </w:rPr>
      </w:pPr>
    </w:p>
    <w:p>
      <w:pPr>
        <w:spacing w:line="580" w:lineRule="exact"/>
        <w:ind w:left="2730" w:leftChars="1300" w:firstLine="2625" w:firstLineChars="1250"/>
        <w:rPr>
          <w:rFonts w:ascii="宋体"/>
          <w:bCs/>
          <w:highlight w:val="none"/>
        </w:rPr>
      </w:pPr>
      <w:r>
        <w:rPr>
          <w:rFonts w:hint="eastAsia" w:ascii="宋体"/>
          <w:bCs/>
          <w:highlight w:val="none"/>
        </w:rPr>
        <w:t>合同编号：</w:t>
      </w:r>
    </w:p>
    <w:p>
      <w:pPr>
        <w:spacing w:line="540" w:lineRule="exact"/>
        <w:rPr>
          <w:rFonts w:ascii="宋体" w:hAnsi="宋体" w:cs="宋体"/>
          <w:b/>
          <w:bCs/>
          <w:sz w:val="30"/>
          <w:szCs w:val="30"/>
          <w:highlight w:val="none"/>
        </w:rPr>
      </w:pPr>
      <w:r>
        <w:rPr>
          <w:rFonts w:hint="eastAsia" w:ascii="宋体" w:hAnsi="宋体" w:cs="宋体"/>
          <w:b/>
          <w:bCs/>
          <w:sz w:val="30"/>
          <w:szCs w:val="30"/>
          <w:highlight w:val="none"/>
        </w:rPr>
        <w:t xml:space="preserve">甲方：（发包人）                   </w:t>
      </w:r>
      <w:r>
        <w:rPr>
          <w:rFonts w:hint="eastAsia" w:ascii="宋体" w:hAnsi="宋体" w:cs="宋体"/>
          <w:b/>
          <w:bCs/>
          <w:sz w:val="30"/>
          <w:szCs w:val="30"/>
          <w:highlight w:val="none"/>
          <w:lang w:val="en-US" w:eastAsia="zh-CN"/>
        </w:rPr>
        <w:t xml:space="preserve">  </w:t>
      </w:r>
      <w:r>
        <w:rPr>
          <w:rFonts w:hint="eastAsia" w:ascii="宋体" w:hAnsi="宋体" w:cs="宋体"/>
          <w:b/>
          <w:bCs/>
          <w:sz w:val="30"/>
          <w:szCs w:val="30"/>
          <w:highlight w:val="none"/>
        </w:rPr>
        <w:t>（以下简称甲方）</w:t>
      </w:r>
    </w:p>
    <w:p>
      <w:pPr>
        <w:spacing w:line="540" w:lineRule="exact"/>
        <w:rPr>
          <w:rFonts w:ascii="仿宋" w:hAnsi="仿宋" w:eastAsia="仿宋"/>
          <w:sz w:val="30"/>
          <w:szCs w:val="30"/>
          <w:highlight w:val="none"/>
        </w:rPr>
      </w:pPr>
      <w:r>
        <w:rPr>
          <w:rFonts w:hint="eastAsia" w:ascii="宋体" w:hAnsi="宋体" w:cs="宋体"/>
          <w:b/>
          <w:bCs/>
          <w:sz w:val="30"/>
          <w:szCs w:val="30"/>
          <w:highlight w:val="none"/>
        </w:rPr>
        <w:t>乙方：（承包人）                     （以下简称乙方）</w:t>
      </w:r>
    </w:p>
    <w:p>
      <w:pPr>
        <w:spacing w:line="540" w:lineRule="exact"/>
        <w:ind w:firstLine="600"/>
        <w:rPr>
          <w:rFonts w:ascii="宋体" w:hAnsi="宋体" w:cs="宋体"/>
          <w:sz w:val="24"/>
          <w:highlight w:val="none"/>
        </w:rPr>
      </w:pPr>
      <w:r>
        <w:rPr>
          <w:rFonts w:hint="eastAsia" w:ascii="宋体" w:hAnsi="宋体" w:cs="宋体"/>
          <w:sz w:val="24"/>
          <w:highlight w:val="none"/>
        </w:rPr>
        <w:t>根据《中华人民共和国民法典》，经甲、乙双方充分协商后达成如下协议条款：</w:t>
      </w:r>
    </w:p>
    <w:p>
      <w:pPr>
        <w:widowControl w:val="0"/>
        <w:adjustRightInd w:val="0"/>
        <w:snapToGrid w:val="0"/>
        <w:spacing w:line="360" w:lineRule="auto"/>
        <w:ind w:firstLine="482" w:firstLineChars="200"/>
        <w:jc w:val="both"/>
        <w:outlineLvl w:val="1"/>
        <w:rPr>
          <w:rFonts w:hint="default" w:ascii="宋体" w:hAnsi="宋体" w:eastAsia="宋体" w:cs="宋体"/>
          <w:bCs/>
          <w:color w:val="000000"/>
          <w:sz w:val="24"/>
          <w:szCs w:val="24"/>
          <w:highlight w:val="none"/>
          <w:lang w:val="en-US" w:eastAsia="zh-CN"/>
        </w:rPr>
      </w:pPr>
      <w:r>
        <w:rPr>
          <w:rFonts w:hint="eastAsia" w:ascii="宋体" w:hAnsi="宋体" w:cs="宋体"/>
          <w:b/>
          <w:bCs/>
          <w:sz w:val="24"/>
          <w:highlight w:val="none"/>
        </w:rPr>
        <w:t>一、工程名称：</w:t>
      </w:r>
      <w:r>
        <w:rPr>
          <w:rFonts w:hint="eastAsia" w:ascii="宋体" w:hAnsi="宋体" w:cs="宋体"/>
          <w:bCs/>
          <w:sz w:val="24"/>
          <w:highlight w:val="none"/>
          <w:lang w:val="en-US" w:eastAsia="zh-CN"/>
        </w:rPr>
        <w:t>城陵矶港办公大楼外墙真石漆项目施工合同</w:t>
      </w:r>
    </w:p>
    <w:p>
      <w:pPr>
        <w:spacing w:line="480" w:lineRule="exact"/>
        <w:ind w:firstLine="482" w:firstLineChars="200"/>
        <w:rPr>
          <w:rFonts w:hint="default" w:ascii="宋体" w:hAnsi="宋体" w:cs="宋体"/>
          <w:b/>
          <w:bCs/>
          <w:sz w:val="24"/>
          <w:highlight w:val="none"/>
          <w:lang w:val="en-US"/>
        </w:rPr>
      </w:pPr>
      <w:r>
        <w:rPr>
          <w:rFonts w:hint="eastAsia" w:ascii="宋体" w:hAnsi="宋体" w:cs="宋体"/>
          <w:b/>
          <w:bCs/>
          <w:sz w:val="24"/>
          <w:highlight w:val="none"/>
        </w:rPr>
        <w:t>二、工程地点：</w:t>
      </w:r>
      <w:r>
        <w:rPr>
          <w:rFonts w:hint="eastAsia" w:ascii="宋体" w:hAnsi="宋体" w:cs="宋体"/>
          <w:bCs/>
          <w:sz w:val="24"/>
          <w:highlight w:val="none"/>
          <w:lang w:val="en-US" w:eastAsia="zh-CN"/>
        </w:rPr>
        <w:t>岳阳城陵矶港</w:t>
      </w:r>
    </w:p>
    <w:p>
      <w:pPr>
        <w:spacing w:line="540" w:lineRule="exact"/>
        <w:ind w:firstLine="482" w:firstLineChars="200"/>
        <w:rPr>
          <w:rFonts w:ascii="宋体" w:hAnsi="宋体" w:cs="宋体"/>
          <w:b/>
          <w:bCs/>
          <w:sz w:val="24"/>
          <w:highlight w:val="none"/>
        </w:rPr>
      </w:pPr>
      <w:r>
        <w:rPr>
          <w:rFonts w:hint="eastAsia" w:ascii="宋体" w:hAnsi="宋体" w:cs="宋体"/>
          <w:b/>
          <w:bCs/>
          <w:sz w:val="24"/>
          <w:highlight w:val="none"/>
        </w:rPr>
        <w:t>三、工程范围及内容：</w:t>
      </w:r>
    </w:p>
    <w:p>
      <w:pPr>
        <w:adjustRightInd w:val="0"/>
        <w:snapToGrid w:val="0"/>
        <w:spacing w:line="540" w:lineRule="exact"/>
        <w:ind w:firstLine="480" w:firstLineChars="200"/>
        <w:rPr>
          <w:rFonts w:hint="default"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1、</w:t>
      </w:r>
      <w:r>
        <w:rPr>
          <w:rFonts w:hint="eastAsia" w:ascii="宋体" w:hAnsi="宋体" w:eastAsia="宋体" w:cs="宋体"/>
          <w:bCs/>
          <w:color w:val="000000"/>
          <w:sz w:val="24"/>
          <w:szCs w:val="24"/>
          <w:highlight w:val="none"/>
          <w:lang w:val="en-US" w:eastAsia="zh-CN"/>
        </w:rPr>
        <w:t>岳阳城陵矶港</w:t>
      </w:r>
      <w:r>
        <w:rPr>
          <w:rFonts w:hint="eastAsia" w:ascii="宋体" w:hAnsi="宋体" w:cs="宋体"/>
          <w:bCs/>
          <w:color w:val="000000"/>
          <w:sz w:val="24"/>
          <w:szCs w:val="24"/>
          <w:highlight w:val="none"/>
          <w:lang w:val="en-US" w:eastAsia="zh-CN"/>
        </w:rPr>
        <w:t>办公楼</w:t>
      </w:r>
      <w:r>
        <w:rPr>
          <w:rFonts w:hint="eastAsia" w:ascii="宋体" w:hAnsi="宋体" w:eastAsia="宋体" w:cs="宋体"/>
          <w:bCs/>
          <w:color w:val="000000"/>
          <w:sz w:val="24"/>
          <w:szCs w:val="24"/>
          <w:highlight w:val="none"/>
          <w:lang w:val="en-US" w:eastAsia="zh-CN"/>
        </w:rPr>
        <w:t>使用年限长，</w:t>
      </w:r>
      <w:r>
        <w:rPr>
          <w:rFonts w:hint="eastAsia" w:ascii="宋体" w:hAnsi="宋体" w:cs="宋体"/>
          <w:bCs/>
          <w:color w:val="000000"/>
          <w:sz w:val="24"/>
          <w:szCs w:val="24"/>
          <w:highlight w:val="none"/>
          <w:lang w:val="en-US" w:eastAsia="zh-CN"/>
        </w:rPr>
        <w:t>外墙</w:t>
      </w:r>
      <w:r>
        <w:rPr>
          <w:rFonts w:hint="eastAsia" w:ascii="宋体" w:hAnsi="宋体" w:eastAsia="宋体" w:cs="宋体"/>
          <w:bCs/>
          <w:color w:val="000000"/>
          <w:sz w:val="24"/>
          <w:szCs w:val="24"/>
          <w:highlight w:val="none"/>
          <w:lang w:val="en-US" w:eastAsia="zh-CN"/>
        </w:rPr>
        <w:t>防水层出现破损渗水漏水现象严重。部分</w:t>
      </w:r>
      <w:r>
        <w:rPr>
          <w:rFonts w:hint="eastAsia" w:ascii="宋体" w:hAnsi="宋体" w:cs="宋体"/>
          <w:bCs/>
          <w:color w:val="000000"/>
          <w:sz w:val="24"/>
          <w:szCs w:val="24"/>
          <w:highlight w:val="none"/>
          <w:lang w:val="en-US" w:eastAsia="zh-CN"/>
        </w:rPr>
        <w:t>外墙</w:t>
      </w:r>
      <w:r>
        <w:rPr>
          <w:rFonts w:hint="eastAsia" w:ascii="宋体" w:hAnsi="宋体" w:eastAsia="宋体" w:cs="宋体"/>
          <w:bCs/>
          <w:color w:val="000000"/>
          <w:sz w:val="24"/>
          <w:szCs w:val="24"/>
          <w:highlight w:val="none"/>
          <w:lang w:val="en-US" w:eastAsia="zh-CN"/>
        </w:rPr>
        <w:t>渗漏</w:t>
      </w:r>
      <w:r>
        <w:rPr>
          <w:rFonts w:hint="eastAsia" w:ascii="宋体" w:hAnsi="宋体" w:cs="宋体"/>
          <w:bCs/>
          <w:color w:val="000000"/>
          <w:sz w:val="24"/>
          <w:szCs w:val="24"/>
          <w:highlight w:val="none"/>
          <w:lang w:val="en-US" w:eastAsia="zh-CN"/>
        </w:rPr>
        <w:t>破损</w:t>
      </w:r>
      <w:r>
        <w:rPr>
          <w:rFonts w:hint="eastAsia" w:ascii="宋体" w:hAnsi="宋体" w:eastAsia="宋体" w:cs="宋体"/>
          <w:bCs/>
          <w:color w:val="000000"/>
          <w:sz w:val="24"/>
          <w:szCs w:val="24"/>
          <w:highlight w:val="none"/>
          <w:lang w:val="en-US" w:eastAsia="zh-CN"/>
        </w:rPr>
        <w:t>严重需</w:t>
      </w:r>
      <w:r>
        <w:rPr>
          <w:rFonts w:hint="eastAsia" w:ascii="宋体" w:hAnsi="宋体" w:cs="宋体"/>
          <w:bCs/>
          <w:color w:val="000000"/>
          <w:sz w:val="24"/>
          <w:szCs w:val="24"/>
          <w:highlight w:val="none"/>
          <w:lang w:val="en-US" w:eastAsia="zh-CN"/>
        </w:rPr>
        <w:t>进行外墙翻实施</w:t>
      </w:r>
      <w:r>
        <w:rPr>
          <w:rFonts w:hint="eastAsia" w:ascii="宋体" w:hAnsi="宋体" w:eastAsia="宋体" w:cs="宋体"/>
          <w:bCs/>
          <w:color w:val="000000"/>
          <w:sz w:val="24"/>
          <w:szCs w:val="24"/>
          <w:highlight w:val="none"/>
          <w:lang w:val="en-US" w:eastAsia="zh-CN"/>
        </w:rPr>
        <w:t xml:space="preserve">。 </w:t>
      </w:r>
    </w:p>
    <w:p>
      <w:pPr>
        <w:spacing w:line="480" w:lineRule="exact"/>
        <w:ind w:firstLine="600"/>
        <w:rPr>
          <w:rFonts w:hint="eastAsia" w:ascii="宋体" w:hAnsi="宋体" w:cs="宋体"/>
          <w:bCs/>
          <w:sz w:val="24"/>
          <w:highlight w:val="none"/>
          <w:lang w:val="en-US" w:eastAsia="zh-CN"/>
        </w:rPr>
      </w:pPr>
      <w:r>
        <w:rPr>
          <w:rFonts w:hint="eastAsia" w:ascii="宋体" w:hAnsi="宋体" w:cs="宋体"/>
          <w:bCs/>
          <w:sz w:val="24"/>
          <w:highlight w:val="none"/>
        </w:rPr>
        <w:t>施工项目及工程量内容如下：</w:t>
      </w:r>
      <w:r>
        <w:rPr>
          <w:rFonts w:hint="eastAsia" w:ascii="宋体" w:hAnsi="宋体" w:cs="宋体"/>
          <w:bCs/>
          <w:sz w:val="24"/>
          <w:highlight w:val="none"/>
          <w:lang w:eastAsia="zh-CN"/>
        </w:rPr>
        <w:t>（</w:t>
      </w:r>
      <w:r>
        <w:rPr>
          <w:rFonts w:hint="eastAsia" w:ascii="宋体" w:hAnsi="宋体" w:cs="宋体"/>
          <w:bCs/>
          <w:sz w:val="24"/>
          <w:highlight w:val="none"/>
          <w:lang w:val="en-US" w:eastAsia="zh-CN"/>
        </w:rPr>
        <w:t>所有工程量以现场实际工作量为准）</w:t>
      </w:r>
    </w:p>
    <w:tbl>
      <w:tblPr>
        <w:tblStyle w:val="19"/>
        <w:tblpPr w:leftFromText="180" w:rightFromText="180" w:vertAnchor="text" w:horzAnchor="page" w:tblpX="1011" w:tblpY="172"/>
        <w:tblOverlap w:val="never"/>
        <w:tblW w:w="9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1"/>
        <w:gridCol w:w="1464"/>
        <w:gridCol w:w="1464"/>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6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ind w:firstLine="480" w:firstLineChars="200"/>
              <w:jc w:val="center"/>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项目名 称</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ind w:firstLine="480" w:firstLineChars="200"/>
              <w:jc w:val="center"/>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单位</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ind w:firstLine="480" w:firstLineChars="200"/>
              <w:jc w:val="center"/>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数量</w:t>
            </w:r>
          </w:p>
        </w:tc>
        <w:tc>
          <w:tcPr>
            <w:tcW w:w="29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ind w:firstLine="480" w:firstLineChars="200"/>
              <w:jc w:val="center"/>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6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ind w:firstLine="480" w:firstLineChars="200"/>
              <w:jc w:val="center"/>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外墙真石漆施工</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ind w:firstLine="480" w:firstLineChars="200"/>
              <w:jc w:val="center"/>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m²</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ind w:firstLine="480" w:firstLineChars="200"/>
              <w:jc w:val="center"/>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800</w:t>
            </w:r>
          </w:p>
        </w:tc>
        <w:tc>
          <w:tcPr>
            <w:tcW w:w="2910"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ind w:firstLine="480" w:firstLineChars="200"/>
              <w:jc w:val="left"/>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含外墙基层处理，包含瓷砖墙面真石漆外墙翻新施工的所有工序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36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ind w:firstLine="480" w:firstLineChars="200"/>
              <w:jc w:val="center"/>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线路整理</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ind w:firstLine="480" w:firstLineChars="200"/>
              <w:jc w:val="center"/>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项</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ind w:firstLine="480" w:firstLineChars="200"/>
              <w:jc w:val="center"/>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1</w:t>
            </w:r>
          </w:p>
        </w:tc>
        <w:tc>
          <w:tcPr>
            <w:tcW w:w="2910"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ind w:firstLine="480" w:firstLineChars="200"/>
              <w:jc w:val="left"/>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外墙各线路捆扎固定整理</w:t>
            </w:r>
          </w:p>
        </w:tc>
      </w:tr>
    </w:tbl>
    <w:p>
      <w:pPr>
        <w:spacing w:line="480" w:lineRule="exact"/>
        <w:ind w:firstLine="480" w:firstLineChars="200"/>
        <w:jc w:val="left"/>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施工前乙方提交施工方案交由甲方审核确定后方实施。</w:t>
      </w:r>
    </w:p>
    <w:p>
      <w:pPr>
        <w:spacing w:line="540" w:lineRule="exact"/>
        <w:ind w:firstLine="600"/>
        <w:outlineLvl w:val="1"/>
        <w:rPr>
          <w:rFonts w:hint="eastAsia" w:ascii="宋体" w:hAnsi="宋体" w:cs="宋体"/>
          <w:b/>
          <w:bCs/>
          <w:sz w:val="24"/>
          <w:highlight w:val="none"/>
        </w:rPr>
      </w:pPr>
      <w:bookmarkStart w:id="106" w:name="_Toc13928"/>
      <w:r>
        <w:rPr>
          <w:rFonts w:hint="eastAsia" w:ascii="宋体" w:hAnsi="宋体" w:cs="宋体"/>
          <w:b/>
          <w:bCs/>
          <w:sz w:val="24"/>
          <w:highlight w:val="none"/>
          <w:lang w:val="en-US" w:eastAsia="zh-CN"/>
        </w:rPr>
        <w:t>四、</w:t>
      </w:r>
      <w:r>
        <w:rPr>
          <w:rFonts w:hint="eastAsia" w:ascii="宋体" w:hAnsi="宋体" w:cs="宋体"/>
          <w:b/>
          <w:bCs/>
          <w:sz w:val="24"/>
          <w:highlight w:val="none"/>
        </w:rPr>
        <w:t>合同工期：</w:t>
      </w:r>
      <w:bookmarkEnd w:id="10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1、总工期</w:t>
      </w:r>
      <w:r>
        <w:rPr>
          <w:rFonts w:hint="eastAsia" w:ascii="宋体" w:hAnsi="宋体" w:cs="宋体"/>
          <w:bCs/>
          <w:color w:val="000000"/>
          <w:sz w:val="24"/>
          <w:szCs w:val="24"/>
          <w:highlight w:val="none"/>
          <w:lang w:val="en-US" w:eastAsia="zh-CN"/>
        </w:rPr>
        <w:t xml:space="preserve">   </w:t>
      </w:r>
      <w:r>
        <w:rPr>
          <w:rFonts w:hint="eastAsia" w:ascii="宋体" w:hAnsi="宋体" w:eastAsia="宋体" w:cs="宋体"/>
          <w:bCs/>
          <w:color w:val="000000"/>
          <w:sz w:val="24"/>
          <w:szCs w:val="24"/>
          <w:highlight w:val="none"/>
          <w:lang w:val="en-US" w:eastAsia="zh-CN"/>
        </w:rPr>
        <w:t>天，计划开工日期：     年   月   日，计划完工日期    年    月   日 。确保达到约定的合同工期。</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2、因业主原因致使工期延误，经业主认可工期可顺延，乙方进度应满足变更后的总工期目标。因乙方原因影响工期，每延误一天，罚款    元。</w:t>
      </w:r>
    </w:p>
    <w:p>
      <w:pPr>
        <w:spacing w:line="540" w:lineRule="exact"/>
        <w:ind w:firstLine="600"/>
        <w:outlineLvl w:val="1"/>
        <w:rPr>
          <w:rFonts w:ascii="宋体" w:hAnsi="宋体" w:cs="宋体"/>
          <w:b/>
          <w:bCs/>
          <w:sz w:val="13"/>
          <w:szCs w:val="13"/>
          <w:highlight w:val="none"/>
        </w:rPr>
      </w:pPr>
      <w:bookmarkStart w:id="107" w:name="_Toc17890"/>
      <w:r>
        <w:rPr>
          <w:rFonts w:hint="eastAsia" w:ascii="宋体" w:hAnsi="宋体" w:cs="宋体"/>
          <w:b/>
          <w:bCs/>
          <w:sz w:val="24"/>
          <w:highlight w:val="none"/>
        </w:rPr>
        <w:t>五、工程质量与保修：</w:t>
      </w:r>
      <w:bookmarkEnd w:id="107"/>
    </w:p>
    <w:p>
      <w:pPr>
        <w:adjustRightInd w:val="0"/>
        <w:snapToGrid w:val="0"/>
        <w:spacing w:line="540" w:lineRule="exact"/>
        <w:ind w:firstLine="480" w:firstLineChars="200"/>
        <w:rPr>
          <w:rFonts w:hint="eastAsia" w:ascii="宋体" w:hAnsi="宋体" w:cs="宋体"/>
          <w:bCs/>
          <w:color w:val="000000"/>
          <w:sz w:val="24"/>
          <w:szCs w:val="24"/>
          <w:highlight w:val="none"/>
          <w:lang w:val="en-US" w:eastAsia="zh-CN"/>
        </w:rPr>
      </w:pPr>
      <w:bookmarkStart w:id="108" w:name="_Toc23797"/>
      <w:r>
        <w:rPr>
          <w:rFonts w:hint="eastAsia" w:ascii="宋体" w:hAnsi="宋体" w:cs="宋体"/>
          <w:bCs/>
          <w:color w:val="000000"/>
          <w:sz w:val="24"/>
          <w:szCs w:val="24"/>
          <w:highlight w:val="none"/>
          <w:lang w:val="en-US" w:eastAsia="zh-CN"/>
        </w:rPr>
        <w:t>1、建筑涂料》JG/T 172—2005、《水性涂料环境标志产品技术要求》HG/T201-2005、《建筑外墙用腻子》JG/T157-2004、《建筑装饰装修工程质量验收规》GB50210-2001《建筑涂饰工程施工及验收规范》JGJ/T29-2003等标准。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2</w:t>
      </w:r>
      <w:r>
        <w:rPr>
          <w:rFonts w:hint="eastAsia" w:ascii="宋体" w:hAnsi="宋体" w:eastAsia="宋体" w:cs="宋体"/>
          <w:bCs/>
          <w:color w:val="000000"/>
          <w:sz w:val="24"/>
          <w:szCs w:val="24"/>
          <w:highlight w:val="none"/>
          <w:lang w:val="en-US" w:eastAsia="zh-CN"/>
        </w:rPr>
        <w:t>、本工程严格按照招标方质量管理体系的要求，进行工程质量控制，并按招标方有关要求填报相关表格，交招标方整理存档。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3</w:t>
      </w:r>
      <w:r>
        <w:rPr>
          <w:rFonts w:hint="eastAsia" w:ascii="宋体" w:hAnsi="宋体" w:eastAsia="宋体" w:cs="宋体"/>
          <w:bCs/>
          <w:color w:val="000000"/>
          <w:sz w:val="24"/>
          <w:szCs w:val="24"/>
          <w:highlight w:val="none"/>
          <w:lang w:val="en-US" w:eastAsia="zh-CN"/>
        </w:rPr>
        <w:t>、所承包的工程结束，满足安全性、可靠性、使用性能的要求（开工前签订安全施工责任合同），符合国家最新相关施工验收规范、检验标准的要求。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4</w:t>
      </w:r>
      <w:r>
        <w:rPr>
          <w:rFonts w:hint="eastAsia" w:ascii="宋体" w:hAnsi="宋体" w:eastAsia="宋体" w:cs="宋体"/>
          <w:bCs/>
          <w:color w:val="000000"/>
          <w:sz w:val="24"/>
          <w:szCs w:val="24"/>
          <w:highlight w:val="none"/>
          <w:lang w:val="en-US" w:eastAsia="zh-CN"/>
        </w:rPr>
        <w:t>、工程质量保修期按从竣工验收合格后</w:t>
      </w:r>
      <w:r>
        <w:rPr>
          <w:rFonts w:hint="eastAsia" w:ascii="宋体" w:hAnsi="宋体" w:cs="宋体"/>
          <w:bCs/>
          <w:color w:val="000000"/>
          <w:sz w:val="24"/>
          <w:szCs w:val="24"/>
          <w:highlight w:val="none"/>
          <w:lang w:val="en-US" w:eastAsia="zh-CN"/>
        </w:rPr>
        <w:t>12</w:t>
      </w:r>
      <w:r>
        <w:rPr>
          <w:rFonts w:hint="eastAsia" w:ascii="宋体" w:hAnsi="宋体" w:eastAsia="宋体" w:cs="宋体"/>
          <w:bCs/>
          <w:color w:val="000000"/>
          <w:sz w:val="24"/>
          <w:szCs w:val="24"/>
          <w:highlight w:val="none"/>
          <w:lang w:val="en-US" w:eastAsia="zh-CN"/>
        </w:rPr>
        <w:t>个月执行。工程质量保修期起始日期自竣工验收报告签署之日起。</w:t>
      </w:r>
    </w:p>
    <w:p>
      <w:pPr>
        <w:spacing w:line="540" w:lineRule="exact"/>
        <w:ind w:firstLine="600"/>
        <w:outlineLvl w:val="1"/>
        <w:rPr>
          <w:rFonts w:ascii="宋体" w:hAnsi="宋体" w:cs="宋体"/>
          <w:b/>
          <w:bCs/>
          <w:sz w:val="24"/>
          <w:highlight w:val="none"/>
        </w:rPr>
      </w:pPr>
      <w:r>
        <w:rPr>
          <w:rFonts w:hint="eastAsia" w:ascii="宋体" w:hAnsi="宋体" w:cs="宋体"/>
          <w:b/>
          <w:bCs/>
          <w:sz w:val="24"/>
          <w:highlight w:val="none"/>
        </w:rPr>
        <w:t>六、环境保护与工程施工安全</w:t>
      </w:r>
      <w:bookmarkEnd w:id="10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乙方必须严格按照甲方环境管理体系的要求进行管理，对环境污染的控制，严格按照ISO14001环境管理体系的执行，减少在施工过程中对环境产生污染的污染源，对于施工过程中实际产生的污染源则应采取积极措施，尽量减少对周边环境的影响。并按甲方的有关要求填报相关资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乙方必须严格按照甲方职业健康安全管理体系要求，对工程施工过程中职业健康安全进行严格管理，杜绝重大伤亡事故，加强对施工人员的职业健康安全教育，严格按照甲方职业健康安全管理体系要求填报有关资料。</w:t>
      </w:r>
    </w:p>
    <w:p>
      <w:pPr>
        <w:spacing w:line="540" w:lineRule="exact"/>
        <w:ind w:firstLine="600"/>
        <w:outlineLvl w:val="1"/>
        <w:rPr>
          <w:rFonts w:ascii="宋体" w:hAnsi="宋体" w:cs="宋体"/>
          <w:b/>
          <w:bCs/>
          <w:sz w:val="24"/>
          <w:highlight w:val="none"/>
        </w:rPr>
      </w:pPr>
      <w:bookmarkStart w:id="109" w:name="_Toc1516"/>
      <w:r>
        <w:rPr>
          <w:rFonts w:hint="eastAsia" w:ascii="宋体" w:hAnsi="宋体" w:cs="宋体"/>
          <w:b/>
          <w:bCs/>
          <w:sz w:val="24"/>
          <w:highlight w:val="none"/>
        </w:rPr>
        <w:t>七、承包方式、合同价款与支付</w:t>
      </w:r>
      <w:bookmarkEnd w:id="109"/>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1、本合同为施工</w:t>
      </w:r>
      <w:r>
        <w:rPr>
          <w:rFonts w:hint="eastAsia" w:ascii="宋体" w:hAnsi="宋体" w:cs="宋体"/>
          <w:bCs/>
          <w:color w:val="000000"/>
          <w:sz w:val="24"/>
          <w:szCs w:val="24"/>
          <w:highlight w:val="none"/>
          <w:lang w:val="en-US" w:eastAsia="zh-CN"/>
        </w:rPr>
        <w:t>综合单价</w:t>
      </w:r>
      <w:r>
        <w:rPr>
          <w:rFonts w:hint="eastAsia" w:ascii="宋体" w:hAnsi="宋体" w:eastAsia="宋体" w:cs="宋体"/>
          <w:bCs/>
          <w:color w:val="000000"/>
          <w:sz w:val="24"/>
          <w:szCs w:val="24"/>
          <w:highlight w:val="none"/>
          <w:lang w:val="en-US" w:eastAsia="zh-CN"/>
        </w:rPr>
        <w:t>合同，包工包料。合同</w:t>
      </w:r>
      <w:r>
        <w:rPr>
          <w:rFonts w:hint="eastAsia" w:ascii="宋体" w:hAnsi="宋体" w:cs="宋体"/>
          <w:bCs/>
          <w:color w:val="000000"/>
          <w:sz w:val="24"/>
          <w:szCs w:val="24"/>
          <w:highlight w:val="none"/>
          <w:lang w:val="en-US" w:eastAsia="zh-CN"/>
        </w:rPr>
        <w:t>总</w:t>
      </w:r>
      <w:r>
        <w:rPr>
          <w:rFonts w:hint="eastAsia" w:ascii="宋体" w:hAnsi="宋体" w:eastAsia="宋体" w:cs="宋体"/>
          <w:bCs/>
          <w:color w:val="000000"/>
          <w:sz w:val="24"/>
          <w:szCs w:val="24"/>
          <w:highlight w:val="none"/>
          <w:lang w:val="en-US" w:eastAsia="zh-CN"/>
        </w:rPr>
        <w:t>价     元（大写：       整）。（含</w:t>
      </w:r>
      <w:r>
        <w:rPr>
          <w:rFonts w:hint="eastAsia" w:ascii="宋体" w:hAnsi="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val="en-US" w:eastAsia="zh-CN"/>
        </w:rPr>
        <w:t>增值税）。</w:t>
      </w:r>
    </w:p>
    <w:p>
      <w:pPr>
        <w:adjustRightInd w:val="0"/>
        <w:snapToGrid w:val="0"/>
        <w:spacing w:line="540" w:lineRule="exact"/>
        <w:ind w:firstLine="480" w:firstLineChars="200"/>
        <w:rPr>
          <w:rFonts w:hint="eastAsia"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工程量以现场实际实施数量签证为准。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工程款支付：本工程预付30%工程款。</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（1）工程全部完工并验收合格一个月内，银行转账支付至合同价款的97% 。</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（2）剩余3%质量保证金，质保期满后一次性支付给乙方，质保期为</w:t>
      </w:r>
      <w:r>
        <w:rPr>
          <w:rFonts w:hint="eastAsia" w:ascii="宋体" w:hAnsi="宋体" w:cs="宋体"/>
          <w:bCs/>
          <w:color w:val="000000"/>
          <w:sz w:val="24"/>
          <w:szCs w:val="24"/>
          <w:highlight w:val="none"/>
          <w:lang w:val="en-US" w:eastAsia="zh-CN"/>
        </w:rPr>
        <w:t>12</w:t>
      </w:r>
      <w:r>
        <w:rPr>
          <w:rFonts w:hint="eastAsia" w:ascii="宋体" w:hAnsi="宋体" w:eastAsia="宋体" w:cs="宋体"/>
          <w:bCs/>
          <w:color w:val="000000"/>
          <w:sz w:val="24"/>
          <w:szCs w:val="24"/>
          <w:highlight w:val="none"/>
          <w:lang w:val="en-US" w:eastAsia="zh-CN"/>
        </w:rPr>
        <w:t>个月。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2、工程结算编制、审核按甲方有关要求办理。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3、乙方向甲方提供与工程款等额税率为3%专用发票。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4、结算条件：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（1）工程质量验评合格；</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（2）结算资料应完整齐全、准确、有效、符合有关</w:t>
      </w:r>
      <w:r>
        <w:rPr>
          <w:rFonts w:hint="eastAsia" w:ascii="宋体" w:hAnsi="宋体" w:cs="宋体"/>
          <w:bCs/>
          <w:color w:val="000000"/>
          <w:sz w:val="24"/>
          <w:szCs w:val="24"/>
          <w:highlight w:val="none"/>
          <w:lang w:val="en-US" w:eastAsia="zh-CN"/>
        </w:rPr>
        <w:t>甲方规定</w:t>
      </w:r>
      <w:r>
        <w:rPr>
          <w:rFonts w:hint="eastAsia" w:ascii="宋体" w:hAnsi="宋体" w:eastAsia="宋体" w:cs="宋体"/>
          <w:bCs/>
          <w:color w:val="000000"/>
          <w:sz w:val="24"/>
          <w:szCs w:val="24"/>
          <w:highlight w:val="none"/>
          <w:lang w:val="en-US" w:eastAsia="zh-CN"/>
        </w:rPr>
        <w:t>。</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110" w:name="_Toc17509"/>
      <w:r>
        <w:rPr>
          <w:rFonts w:hint="eastAsia" w:ascii="宋体" w:hAnsi="宋体" w:eastAsia="宋体" w:cs="宋体"/>
          <w:bCs/>
          <w:color w:val="000000"/>
          <w:sz w:val="24"/>
          <w:szCs w:val="24"/>
          <w:highlight w:val="none"/>
          <w:lang w:val="en-US" w:eastAsia="zh-CN"/>
        </w:rPr>
        <w:t>5、本合同施工范围外的增加工程量另行协商。</w:t>
      </w:r>
      <w:bookmarkEnd w:id="110"/>
    </w:p>
    <w:p>
      <w:pPr>
        <w:spacing w:line="540" w:lineRule="exact"/>
        <w:ind w:firstLine="600"/>
        <w:outlineLvl w:val="1"/>
        <w:rPr>
          <w:rFonts w:ascii="宋体" w:hAnsi="宋体" w:cs="宋体"/>
          <w:b/>
          <w:bCs/>
          <w:sz w:val="24"/>
          <w:highlight w:val="none"/>
        </w:rPr>
      </w:pPr>
      <w:bookmarkStart w:id="111" w:name="_Toc4364"/>
      <w:r>
        <w:rPr>
          <w:rFonts w:hint="eastAsia" w:ascii="宋体" w:hAnsi="宋体" w:cs="宋体"/>
          <w:b/>
          <w:bCs/>
          <w:sz w:val="24"/>
          <w:highlight w:val="none"/>
        </w:rPr>
        <w:t>八、双方责任和权利：</w:t>
      </w:r>
      <w:bookmarkEnd w:id="111"/>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甲方责任和权利：</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1、委派      为甲方驻施工现场代表，履行甲方职责与权力。</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2、配合乙方做好与本工程有关的协调工作。提供施工技术资料并现场交底，明确施工场地范围。</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3、对乙方承包的工程从技术、质量安全、进度和文明施工方面进行监督、检查和指导。</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乙方承诺已对合同中约定的建设工程施工规程规范及甲方项目管理有关规定均已了解并愿意遵照执行。甲方相关部门有权对乙方项目管理和施工进行监督检查，并对违反本合同和国家有关建设工程施工规程规范以及甲方项目管理有关规定的行为进行经济处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5、组织工程竣工验收，并办理好工程交接管理手续。</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6、负责并组织质量监督检测单位进行基础、承重构件等测试工作。</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乙方责任和权利：</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112" w:name="_Toc13906"/>
      <w:r>
        <w:rPr>
          <w:rFonts w:hint="eastAsia" w:ascii="宋体" w:hAnsi="宋体" w:eastAsia="宋体" w:cs="宋体"/>
          <w:bCs/>
          <w:color w:val="000000"/>
          <w:sz w:val="24"/>
          <w:szCs w:val="24"/>
          <w:highlight w:val="none"/>
          <w:lang w:val="en-US" w:eastAsia="zh-CN"/>
        </w:rPr>
        <w:t>1、委派     为工地负责人，负责合同的实施。</w:t>
      </w:r>
      <w:bookmarkEnd w:id="11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2、接受甲方、监理及当地政府建设管理部门的管理、监督，做好责任范围内的治安工作。</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3、质量、安全、生产、环保、健康必须对甲方负责，做到文明施工、环保生产、防止质量安全事故的发生。因事故所造成的一切经济、声誉损失，由乙方自己承担。</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4、乙方不得以甲方名义在外赊借任何款项。乙方在外所发生的任何债务和法律纠纷与甲方无关。</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5、保证工程质量和安全生产费用的投入，抓好安全生产。因工程质量不合格造成返工所发生的费用，以及因安全事故造成的各种经济损失，全部由乙方承担，甲方不承担任何经济责任。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6、因乙方责任，造成施工合同无法实施时，甲方有权单方面解除合同，乙方并承担由此而发生的一切后果。</w:t>
      </w:r>
    </w:p>
    <w:p>
      <w:pPr>
        <w:spacing w:line="540" w:lineRule="exact"/>
        <w:ind w:firstLine="600"/>
        <w:outlineLvl w:val="1"/>
        <w:rPr>
          <w:rFonts w:ascii="宋体" w:hAnsi="宋体" w:cs="宋体"/>
          <w:b/>
          <w:bCs/>
          <w:sz w:val="24"/>
          <w:highlight w:val="none"/>
        </w:rPr>
      </w:pPr>
      <w:bookmarkStart w:id="113" w:name="_Toc31361"/>
      <w:r>
        <w:rPr>
          <w:rFonts w:hint="eastAsia" w:ascii="宋体" w:hAnsi="宋体" w:cs="宋体"/>
          <w:b/>
          <w:bCs/>
          <w:sz w:val="24"/>
          <w:highlight w:val="none"/>
        </w:rPr>
        <w:t>九、技术资料：</w:t>
      </w:r>
      <w:bookmarkEnd w:id="113"/>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乙方在施工过程中必须填报所有工程施工管理的各种记录表格资料，并及时提供给甲方，在工程竣工验收后，应及时竣工资料并报甲方二份存档。</w:t>
      </w:r>
    </w:p>
    <w:p>
      <w:pPr>
        <w:spacing w:line="540" w:lineRule="exact"/>
        <w:ind w:firstLine="482" w:firstLineChars="200"/>
        <w:outlineLvl w:val="1"/>
        <w:rPr>
          <w:rFonts w:hint="eastAsia" w:ascii="宋体" w:hAnsi="宋体" w:eastAsia="宋体" w:cs="宋体"/>
          <w:b/>
          <w:bCs/>
          <w:sz w:val="24"/>
          <w:highlight w:val="none"/>
          <w:lang w:val="en-US" w:eastAsia="zh-CN"/>
        </w:rPr>
      </w:pPr>
      <w:bookmarkStart w:id="114" w:name="_Toc20700"/>
      <w:r>
        <w:rPr>
          <w:rFonts w:hint="eastAsia" w:ascii="宋体" w:hAnsi="宋体" w:cs="宋体"/>
          <w:b/>
          <w:bCs/>
          <w:sz w:val="24"/>
          <w:highlight w:val="none"/>
        </w:rPr>
        <w:t>十、材料设备供应</w:t>
      </w:r>
      <w:r>
        <w:rPr>
          <w:rFonts w:hint="eastAsia" w:ascii="宋体" w:hAnsi="宋体" w:cs="宋体"/>
          <w:b/>
          <w:bCs/>
          <w:sz w:val="24"/>
          <w:highlight w:val="none"/>
          <w:lang w:val="en-US" w:eastAsia="zh-CN"/>
        </w:rPr>
        <w:t>:</w:t>
      </w:r>
      <w:bookmarkEnd w:id="114"/>
    </w:p>
    <w:p>
      <w:pPr>
        <w:pStyle w:val="6"/>
        <w:spacing w:line="540" w:lineRule="exact"/>
        <w:ind w:firstLine="600"/>
        <w:rPr>
          <w:rFonts w:hint="eastAsia" w:ascii="宋体" w:hAnsi="宋体" w:eastAsia="宋体" w:cs="宋体"/>
          <w:bCs/>
          <w:color w:val="000000"/>
          <w:kern w:val="2"/>
          <w:sz w:val="24"/>
          <w:szCs w:val="24"/>
          <w:highlight w:val="none"/>
          <w:lang w:val="en-US" w:eastAsia="zh-CN" w:bidi="ar-SA"/>
        </w:rPr>
      </w:pPr>
      <w:r>
        <w:rPr>
          <w:rFonts w:hint="eastAsia" w:ascii="宋体" w:hAnsi="宋体" w:eastAsia="宋体" w:cs="宋体"/>
          <w:bCs/>
          <w:color w:val="000000"/>
          <w:kern w:val="2"/>
          <w:sz w:val="24"/>
          <w:szCs w:val="24"/>
          <w:highlight w:val="none"/>
          <w:lang w:val="en-US" w:eastAsia="zh-CN" w:bidi="ar-SA"/>
        </w:rPr>
        <w:t xml:space="preserve">施工机械乙方提供，满足工程需要。对外租赁吊车等特种设备前，需对设备的性能、状态等进行鉴定。因乙方自有设备及外租设备故障引起的对工程质量、安全等方面的损失由乙方承担；因甲方自有设备故障引起的对工程质量、安全等方面的损失由甲方承担。 </w:t>
      </w:r>
    </w:p>
    <w:p>
      <w:pPr>
        <w:spacing w:line="540" w:lineRule="exact"/>
        <w:ind w:firstLine="482" w:firstLineChars="200"/>
        <w:outlineLvl w:val="1"/>
        <w:rPr>
          <w:rFonts w:ascii="宋体" w:hAnsi="宋体" w:cs="宋体"/>
          <w:b/>
          <w:bCs/>
          <w:sz w:val="24"/>
          <w:highlight w:val="none"/>
        </w:rPr>
      </w:pPr>
      <w:bookmarkStart w:id="115" w:name="_Toc26693"/>
      <w:r>
        <w:rPr>
          <w:rFonts w:hint="eastAsia" w:ascii="宋体" w:hAnsi="宋体" w:cs="宋体"/>
          <w:b/>
          <w:bCs/>
          <w:sz w:val="24"/>
          <w:highlight w:val="none"/>
        </w:rPr>
        <w:t>十一、劳动用工管理：</w:t>
      </w:r>
      <w:bookmarkEnd w:id="115"/>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1、本工程由乙方自行组织施工力量进行施工，施工力量必须能满足工程质量及进度的需要，否则，甲方可要求乙方重新调配施工力量。</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116" w:name="_Toc2314"/>
      <w:r>
        <w:rPr>
          <w:rFonts w:hint="eastAsia" w:ascii="宋体" w:hAnsi="宋体" w:eastAsia="宋体" w:cs="宋体"/>
          <w:bCs/>
          <w:color w:val="000000"/>
          <w:sz w:val="24"/>
          <w:szCs w:val="24"/>
          <w:highlight w:val="none"/>
          <w:lang w:val="en-US" w:eastAsia="zh-CN"/>
        </w:rPr>
        <w:t>2、劳动用工须按《中华人民共和国劳动合同法》执行。</w:t>
      </w:r>
      <w:bookmarkEnd w:id="11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3、乙方的人员须上报名册交甲方审查、备案，乙方必须为其员工办理体检、购买建筑安装工程意外伤害保险，并承担该部分费用。特种作业人员必须要持有效证件方能上岗。否则，带来的损失由乙方自行承担。</w:t>
      </w:r>
    </w:p>
    <w:p>
      <w:pPr>
        <w:spacing w:line="540" w:lineRule="exact"/>
        <w:ind w:firstLine="600"/>
        <w:outlineLvl w:val="1"/>
        <w:rPr>
          <w:rFonts w:ascii="宋体" w:hAnsi="宋体" w:cs="宋体"/>
          <w:sz w:val="24"/>
          <w:highlight w:val="none"/>
        </w:rPr>
      </w:pPr>
      <w:bookmarkStart w:id="117" w:name="_Toc3694"/>
      <w:r>
        <w:rPr>
          <w:rFonts w:hint="eastAsia" w:ascii="宋体" w:hAnsi="宋体" w:cs="宋体"/>
          <w:b/>
          <w:bCs/>
          <w:sz w:val="24"/>
          <w:highlight w:val="none"/>
        </w:rPr>
        <w:t>十二、竣工验收</w:t>
      </w:r>
      <w:r>
        <w:rPr>
          <w:rFonts w:hint="eastAsia" w:ascii="宋体" w:hAnsi="宋体" w:cs="宋体"/>
          <w:sz w:val="24"/>
          <w:highlight w:val="none"/>
        </w:rPr>
        <w:t>：</w:t>
      </w:r>
      <w:bookmarkEnd w:id="117"/>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1、本工程具备竣工验收条件时，乙方应提前向甲方提出竣工验收书面通知。甲方在收到乙方书面通知后，及时联系设计及有关部门在7个日历日内进行验收。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2、外观验收标准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1）饰面不允许出现掉粉、起皮等现象﹔</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2）饰面不得有返碱、咬色等现象﹔</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3）饰面不得出现漏涂、透庭等现象;</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4）饰面斑点的疏密要均匀。在1米之内，正视、斜视喷点均匀，不允许连片﹔</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5）饰面颜色要均匀一致;</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6）涂饰时要保证周围的门窗、玻璃等的清洁。</w:t>
      </w:r>
    </w:p>
    <w:p>
      <w:pPr>
        <w:pStyle w:val="2"/>
        <w:rPr>
          <w:rFonts w:hint="default"/>
          <w:lang w:val="en-US" w:eastAsia="zh-CN"/>
        </w:rPr>
      </w:pP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3</w:t>
      </w:r>
      <w:r>
        <w:rPr>
          <w:rFonts w:hint="eastAsia" w:ascii="宋体" w:hAnsi="宋体" w:eastAsia="宋体" w:cs="宋体"/>
          <w:bCs/>
          <w:color w:val="000000"/>
          <w:sz w:val="24"/>
          <w:szCs w:val="24"/>
          <w:highlight w:val="none"/>
          <w:lang w:val="en-US" w:eastAsia="zh-CN"/>
        </w:rPr>
        <w:t>、验收期间，工程不合格部位，乙方必须限期整改，直至合格为止。</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118" w:name="_Toc12571"/>
      <w:r>
        <w:rPr>
          <w:rFonts w:hint="eastAsia" w:ascii="宋体" w:hAnsi="宋体" w:cs="宋体"/>
          <w:bCs/>
          <w:color w:val="000000"/>
          <w:sz w:val="24"/>
          <w:szCs w:val="24"/>
          <w:highlight w:val="none"/>
          <w:lang w:val="en-US" w:eastAsia="zh-CN"/>
        </w:rPr>
        <w:t>4</w:t>
      </w:r>
      <w:r>
        <w:rPr>
          <w:rFonts w:hint="eastAsia" w:ascii="宋体" w:hAnsi="宋体" w:eastAsia="宋体" w:cs="宋体"/>
          <w:bCs/>
          <w:color w:val="000000"/>
          <w:sz w:val="24"/>
          <w:szCs w:val="24"/>
          <w:highlight w:val="none"/>
          <w:lang w:val="en-US" w:eastAsia="zh-CN"/>
        </w:rPr>
        <w:t>、竣工验收标准：  合格</w:t>
      </w:r>
      <w:bookmarkEnd w:id="118"/>
      <w:r>
        <w:rPr>
          <w:rFonts w:hint="eastAsia" w:ascii="宋体" w:hAnsi="宋体" w:eastAsia="宋体" w:cs="宋体"/>
          <w:bCs/>
          <w:color w:val="000000"/>
          <w:sz w:val="24"/>
          <w:szCs w:val="24"/>
          <w:highlight w:val="none"/>
          <w:lang w:val="en-US" w:eastAsia="zh-CN"/>
        </w:rPr>
        <w:t xml:space="preserve">  </w:t>
      </w:r>
    </w:p>
    <w:p>
      <w:pPr>
        <w:spacing w:line="540" w:lineRule="exact"/>
        <w:ind w:firstLine="600"/>
        <w:outlineLvl w:val="1"/>
        <w:rPr>
          <w:rFonts w:ascii="宋体" w:hAnsi="宋体" w:cs="宋体"/>
          <w:sz w:val="24"/>
          <w:highlight w:val="none"/>
        </w:rPr>
      </w:pPr>
      <w:bookmarkStart w:id="119" w:name="_Toc12979"/>
      <w:r>
        <w:rPr>
          <w:rFonts w:hint="eastAsia" w:ascii="宋体" w:hAnsi="宋体" w:cs="宋体"/>
          <w:b/>
          <w:bCs/>
          <w:sz w:val="24"/>
          <w:highlight w:val="none"/>
        </w:rPr>
        <w:t>十三、违约责任</w:t>
      </w:r>
      <w:r>
        <w:rPr>
          <w:rFonts w:hint="eastAsia" w:ascii="宋体" w:hAnsi="宋体" w:cs="宋体"/>
          <w:sz w:val="24"/>
          <w:highlight w:val="none"/>
        </w:rPr>
        <w:t>：</w:t>
      </w:r>
      <w:bookmarkEnd w:id="119"/>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本工程出现质量问题，经整改仍达不到要求，甲方有权从质量保证金中扣除相应的费用，不足部分，乙方另行补偿甲方的经济损失。 承包人出现违约情况时，发包人发出整改通知后，承包人在指定的合理期限内仍不纠正违约行为并致使合同目的不能实现的，发包人有权单方面解除合同</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其它违约（包括因不可抗力造成的违约），依照《中华人民共和国合同法》有关条款处理。</w:t>
      </w:r>
    </w:p>
    <w:p>
      <w:pPr>
        <w:numPr>
          <w:ilvl w:val="0"/>
          <w:numId w:val="0"/>
        </w:numPr>
        <w:spacing w:line="540" w:lineRule="exact"/>
        <w:ind w:firstLine="723" w:firstLineChars="300"/>
        <w:outlineLvl w:val="1"/>
        <w:rPr>
          <w:rFonts w:ascii="宋体" w:hAnsi="宋体" w:cs="宋体"/>
          <w:b/>
          <w:bCs/>
          <w:sz w:val="24"/>
          <w:highlight w:val="none"/>
        </w:rPr>
      </w:pPr>
      <w:bookmarkStart w:id="120" w:name="_Toc10877"/>
      <w:r>
        <w:rPr>
          <w:rFonts w:hint="eastAsia" w:ascii="宋体" w:hAnsi="宋体" w:cs="宋体"/>
          <w:b/>
          <w:bCs/>
          <w:sz w:val="24"/>
          <w:highlight w:val="none"/>
        </w:rPr>
        <w:t>十四、其它：</w:t>
      </w:r>
      <w:bookmarkEnd w:id="12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1、本合同自签订之日起生效，工程竣工后保修期满财务决算、工程款全部清算后失效 。</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2、本工程质保期为：自竣工验收合格之日起，质保期为</w:t>
      </w:r>
      <w:r>
        <w:rPr>
          <w:rFonts w:hint="eastAsia" w:ascii="宋体" w:hAnsi="宋体" w:cs="宋体"/>
          <w:bCs/>
          <w:color w:val="000000"/>
          <w:sz w:val="24"/>
          <w:szCs w:val="24"/>
          <w:highlight w:val="none"/>
          <w:lang w:val="en-US" w:eastAsia="zh-CN"/>
        </w:rPr>
        <w:t>12</w:t>
      </w:r>
      <w:r>
        <w:rPr>
          <w:rFonts w:hint="eastAsia" w:ascii="宋体" w:hAnsi="宋体" w:eastAsia="宋体" w:cs="宋体"/>
          <w:bCs/>
          <w:color w:val="000000"/>
          <w:sz w:val="24"/>
          <w:szCs w:val="24"/>
          <w:highlight w:val="none"/>
          <w:lang w:val="en-US" w:eastAsia="zh-CN"/>
        </w:rPr>
        <w:t>个月，质保期满后28天内，甲方向乙方全额免息支付质量保证金。</w:t>
      </w:r>
    </w:p>
    <w:p>
      <w:pPr>
        <w:adjustRightInd w:val="0"/>
        <w:snapToGrid w:val="0"/>
        <w:spacing w:line="540" w:lineRule="exact"/>
        <w:ind w:firstLine="480" w:firstLineChars="200"/>
        <w:rPr>
          <w:rFonts w:hint="default" w:ascii="宋体" w:hAnsi="宋体" w:eastAsia="宋体" w:cs="宋体"/>
          <w:bCs/>
          <w:color w:val="000000"/>
          <w:sz w:val="24"/>
          <w:szCs w:val="24"/>
          <w:highlight w:val="none"/>
          <w:lang w:val="en-US" w:eastAsia="zh-CN"/>
        </w:rPr>
      </w:pPr>
      <w:bookmarkStart w:id="121" w:name="_Toc24860"/>
      <w:r>
        <w:rPr>
          <w:rFonts w:hint="eastAsia" w:ascii="宋体" w:hAnsi="宋体" w:eastAsia="宋体" w:cs="宋体"/>
          <w:bCs/>
          <w:color w:val="000000"/>
          <w:sz w:val="24"/>
          <w:szCs w:val="24"/>
          <w:highlight w:val="none"/>
          <w:lang w:val="en-US" w:eastAsia="zh-CN"/>
        </w:rPr>
        <w:t>3、本合同壹式陆份，甲方执肆份，乙方执两份</w:t>
      </w:r>
      <w:bookmarkEnd w:id="121"/>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122" w:name="_Toc26683"/>
      <w:r>
        <w:rPr>
          <w:rFonts w:hint="eastAsia" w:ascii="宋体" w:hAnsi="宋体" w:eastAsia="宋体" w:cs="宋体"/>
          <w:bCs/>
          <w:color w:val="000000"/>
          <w:sz w:val="24"/>
          <w:szCs w:val="24"/>
          <w:highlight w:val="none"/>
          <w:lang w:val="en-US" w:eastAsia="zh-CN"/>
        </w:rPr>
        <w:t>4、本合同未尽事宜，双方协商解决或另签署补充协议。协商不成而发生合同纠纷，提交工程所属地诉讼/仲裁委员会仲裁。</w:t>
      </w:r>
      <w:bookmarkEnd w:id="122"/>
    </w:p>
    <w:p>
      <w:pPr>
        <w:rPr>
          <w:rFonts w:hint="eastAsia" w:ascii="宋体" w:hAnsi="宋体" w:cs="宋体"/>
          <w:sz w:val="24"/>
          <w:highlight w:val="none"/>
        </w:rPr>
      </w:pPr>
      <w:r>
        <w:rPr>
          <w:rFonts w:hint="eastAsia" w:ascii="宋体" w:hAnsi="宋体" w:cs="宋体"/>
          <w:sz w:val="24"/>
          <w:highlight w:val="none"/>
        </w:rPr>
        <w:br w:type="page"/>
      </w:r>
    </w:p>
    <w:p>
      <w:pPr>
        <w:pStyle w:val="7"/>
        <w:rPr>
          <w:rFonts w:hint="eastAsia"/>
        </w:rPr>
      </w:pPr>
    </w:p>
    <w:p>
      <w:pPr>
        <w:keepNext w:val="0"/>
        <w:keepLines w:val="0"/>
        <w:pageBreakBefore w:val="0"/>
        <w:widowControl/>
        <w:kinsoku/>
        <w:wordWrap/>
        <w:overflowPunct/>
        <w:topLinePunct w:val="0"/>
        <w:autoSpaceDE/>
        <w:autoSpaceDN/>
        <w:bidi w:val="0"/>
        <w:snapToGrid w:val="0"/>
        <w:spacing w:line="380" w:lineRule="exact"/>
        <w:jc w:val="center"/>
        <w:outlineLvl w:val="2"/>
        <w:rPr>
          <w:rFonts w:hint="eastAsia" w:ascii="宋体" w:hAnsi="宋体" w:eastAsia="宋体" w:cs="宋体"/>
          <w:b/>
          <w:bCs/>
          <w:color w:val="110F0F"/>
          <w:w w:val="110"/>
          <w:sz w:val="28"/>
          <w:szCs w:val="28"/>
        </w:rPr>
      </w:pPr>
      <w:bookmarkStart w:id="123" w:name="_Toc798"/>
      <w:r>
        <w:rPr>
          <w:rFonts w:hint="eastAsia" w:ascii="宋体" w:hAnsi="宋体" w:eastAsia="宋体" w:cs="宋体"/>
          <w:b/>
          <w:bCs/>
          <w:color w:val="110F0F"/>
          <w:w w:val="110"/>
          <w:sz w:val="32"/>
          <w:szCs w:val="32"/>
          <w:lang w:val="en-US" w:eastAsia="zh-CN"/>
        </w:rPr>
        <w:t xml:space="preserve">第二部分 </w:t>
      </w:r>
      <w:r>
        <w:rPr>
          <w:rFonts w:hint="eastAsia" w:ascii="宋体" w:hAnsi="宋体" w:eastAsia="宋体" w:cs="宋体"/>
          <w:b/>
          <w:bCs/>
          <w:color w:val="110F0F"/>
          <w:w w:val="110"/>
          <w:sz w:val="32"/>
          <w:szCs w:val="32"/>
        </w:rPr>
        <w:t>安</w:t>
      </w:r>
      <w:r>
        <w:rPr>
          <w:rFonts w:hint="eastAsia" w:ascii="宋体" w:hAnsi="宋体" w:eastAsia="宋体" w:cs="宋体"/>
          <w:b/>
          <w:bCs/>
          <w:color w:val="110F0F"/>
          <w:w w:val="110"/>
          <w:sz w:val="32"/>
          <w:szCs w:val="32"/>
          <w:lang w:val="en-US" w:eastAsia="zh-CN"/>
        </w:rPr>
        <w:t>全协</w:t>
      </w:r>
      <w:r>
        <w:rPr>
          <w:rFonts w:hint="eastAsia" w:ascii="宋体" w:hAnsi="宋体" w:eastAsia="宋体" w:cs="宋体"/>
          <w:b/>
          <w:bCs/>
          <w:color w:val="110F0F"/>
          <w:w w:val="110"/>
          <w:sz w:val="32"/>
          <w:szCs w:val="32"/>
        </w:rPr>
        <w:t>议</w:t>
      </w:r>
      <w:bookmarkEnd w:id="123"/>
    </w:p>
    <w:p>
      <w:pPr>
        <w:pStyle w:val="17"/>
        <w:keepNext w:val="0"/>
        <w:keepLines w:val="0"/>
        <w:pageBreakBefore w:val="0"/>
        <w:widowControl/>
        <w:kinsoku/>
        <w:wordWrap/>
        <w:overflowPunct/>
        <w:topLinePunct w:val="0"/>
        <w:autoSpaceDE/>
        <w:autoSpaceDN/>
        <w:bidi w:val="0"/>
        <w:spacing w:line="380" w:lineRule="exact"/>
        <w:rPr>
          <w:rFonts w:hint="eastAsia" w:ascii="新宋体" w:hAnsi="新宋体" w:eastAsia="新宋体" w:cs="新宋体"/>
          <w:sz w:val="28"/>
          <w:szCs w:val="28"/>
        </w:rPr>
      </w:pP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为了切实做好安全生产工作，依据《中华人民共和国安全生产法》、《中华人民共和国</w:t>
      </w:r>
      <w:r>
        <w:rPr>
          <w:rFonts w:hint="eastAsia" w:ascii="宋体" w:hAnsi="宋体" w:cs="宋体"/>
          <w:bCs/>
          <w:color w:val="000000"/>
          <w:sz w:val="24"/>
          <w:szCs w:val="24"/>
          <w:highlight w:val="none"/>
          <w:lang w:val="en-US" w:eastAsia="zh-CN"/>
        </w:rPr>
        <w:t>民法典</w:t>
      </w:r>
      <w:r>
        <w:rPr>
          <w:rFonts w:hint="eastAsia" w:ascii="宋体" w:hAnsi="宋体" w:eastAsia="宋体" w:cs="宋体"/>
          <w:bCs/>
          <w:color w:val="000000"/>
          <w:sz w:val="24"/>
          <w:szCs w:val="24"/>
          <w:highlight w:val="none"/>
          <w:lang w:val="en-US" w:eastAsia="zh-CN"/>
        </w:rPr>
        <w:t>》以及国家有关安全生产管理的法律、法规、标准，按照“安全第一、预防为主、综合治理”的原则，明确甲乙双方责任，就甲乙双方在本项目中的安全生产事项，经协商一致，签订本协议。</w:t>
      </w:r>
    </w:p>
    <w:p>
      <w:pPr>
        <w:widowControl/>
        <w:autoSpaceDE w:val="0"/>
        <w:adjustRightInd/>
        <w:snapToGrid/>
        <w:spacing w:line="600" w:lineRule="exact"/>
        <w:ind w:firstLine="480" w:firstLineChars="200"/>
        <w:jc w:val="both"/>
        <w:rPr>
          <w:rFonts w:hint="eastAsia" w:ascii="宋体" w:hAnsi="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第一条：项目名称：城陵矶港</w:t>
      </w:r>
      <w:r>
        <w:rPr>
          <w:rFonts w:hint="eastAsia" w:ascii="宋体" w:hAnsi="宋体" w:cs="宋体"/>
          <w:bCs/>
          <w:color w:val="000000"/>
          <w:sz w:val="24"/>
          <w:szCs w:val="24"/>
          <w:highlight w:val="none"/>
          <w:lang w:val="en-US" w:eastAsia="zh-CN"/>
        </w:rPr>
        <w:t>办公</w:t>
      </w:r>
      <w:r>
        <w:rPr>
          <w:rFonts w:hint="eastAsia" w:ascii="宋体" w:hAnsi="宋体" w:eastAsia="宋体" w:cs="宋体"/>
          <w:bCs/>
          <w:color w:val="000000"/>
          <w:sz w:val="24"/>
          <w:szCs w:val="24"/>
          <w:highlight w:val="none"/>
          <w:lang w:val="en-US" w:eastAsia="zh-CN"/>
        </w:rPr>
        <w:t>大楼</w:t>
      </w:r>
      <w:r>
        <w:rPr>
          <w:rFonts w:hint="eastAsia" w:ascii="宋体" w:hAnsi="宋体" w:cs="宋体"/>
          <w:bCs/>
          <w:color w:val="000000"/>
          <w:sz w:val="24"/>
          <w:szCs w:val="24"/>
          <w:highlight w:val="none"/>
          <w:lang w:val="en-US" w:eastAsia="zh-CN"/>
        </w:rPr>
        <w:t>外墙真石漆施工</w:t>
      </w:r>
      <w:r>
        <w:rPr>
          <w:rFonts w:hint="eastAsia" w:ascii="宋体" w:hAnsi="宋体" w:eastAsia="宋体" w:cs="宋体"/>
          <w:bCs/>
          <w:color w:val="000000"/>
          <w:sz w:val="24"/>
          <w:szCs w:val="24"/>
          <w:highlight w:val="none"/>
          <w:lang w:val="en-US" w:eastAsia="zh-CN"/>
        </w:rPr>
        <w:t>项目</w:t>
      </w:r>
      <w:r>
        <w:rPr>
          <w:rFonts w:hint="eastAsia" w:ascii="宋体" w:hAnsi="宋体" w:cs="宋体"/>
          <w:bCs/>
          <w:color w:val="000000"/>
          <w:sz w:val="24"/>
          <w:szCs w:val="24"/>
          <w:highlight w:val="none"/>
          <w:lang w:val="en-US" w:eastAsia="zh-CN"/>
        </w:rPr>
        <w:t>。</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第二条：本协议内容只涉及甲乙双方在本项目中关于安全生产的权利和责任。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第三条：甲方的权利：</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（一）有权要求乙方建立安全组织机构或指定专人负责作业现场安全监督检查。严格执行安全生产法律、法规、条例、标准，遵守甲方的安全生产规章制度等。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（二）有权按规定对乙方安全业绩、资质进行审查，对乙方针对作业项目制定的职业健康安全、环境项目进行审查并备案。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（三）有权要求乙方在项目施工过程中保护好施工区域内甲方的安全生产设施、设备和器材。</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（四）有权要求乙方在进入甲方现场作业前所有作业人员接受甲方的安全培训与教育。</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（五）有权对乙方的作业现场的安全作业情况进行监督检查，有权对乙方不符合安全生产要求的行为进行制止、纠正、处罚、停止作业、直至清退出场。</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（六）有权要求乙方所有作业人员必须交纳工伤保险和意外伤害保险。</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七）乙方在作业中如发生国务院《生产安全事故报告和调查处理条例》所规定的伤亡事故，甲方有权督促乙方立即通知乙方上级主管部门和当地政府安全生产监督管理部门，要求派人保护现场，并有权要求乙方提供事故调查书面结论及处理意见。发生事故后、有权根据有关规定参与事故的调查。</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第四条：甲方的责任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（一）认真贯彻落实国家有关法律、法规、标准及甲方公司安全生产规章制度。</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（二）向乙方明确作业区（甲方港内）的范围、危险源及安全技术交底，并要有书面记录。</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（三）在甲方港内为乙方提供项目合同中规定的安全作业条件。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（四）在甲方港内发生事故时，积极协助抢险，防止事故扩大，并按照甲方公司有关规定进行报告。</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第五条：乙方的权利</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（一）有权对甲方的安全工作提出合理化建议和改进意见。</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（二）日常作业中，若甲方违章指挥、强令乙方冒险作业，有权拒绝执行。</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（三）有权要求在甲方港内提供符合安全作业的工艺条件和环境。</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（四）发生严重危及乙方生命安全的紧急情况时，乙方有权采取必要的避险措施。</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第六条：乙方的责任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（一）乙方是本项目的安全生产责任主体，对本项目的安全生产工作全面负责。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（二）健全安全组织机构，建立安全生产责任制，制定健全的安全生产规章制度，制定生产安全事故应急求援预案，配备必要的安全生产管理人员和劳动保护用品，严格执行甲方相关的规章制度。</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（三）应对作业人员进行作业前安全教育培训，使其具备相应的安全意识和安全技能；特种作业人员应具有相应的资格证书。</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（四）不得使用不符合国家、行业标准和甲方规定的原材料、设备、装置、防护用品、器材、安全检测仪器等。所使用的特种设备，必须经具有专业资质的检验检测机构检测。经检测不合格的，不得继续使用。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（五）指定专人负责现场安全监督检查工作，认真开展安全检查，发现作业过程中人的不安全行为及事故安全隐患，应采取有效措施积极处理。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（六）乙方有责任对作业区域的安全生产条件进行详细了解。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（七）乙方在作业过程中有属于危及安全生产的关键作业时，应提出切实可行的方案，经甲方同意后，方可实施。</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（八）乙方在甲方港内作业期间只能在甲方规定的路线进出公司，只能在规定的区域内作业，禁止私自进入甲方其它生产区域。</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（九）乙方应服从甲方单位的安全管理。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（十）发生事故时，乙方应积极抢险，避免事故的进一步扩大，并按照国家相关要求报告事故。</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十一）当乙方在甲方港内作业过程中发生安全责任事故时，乙方作为项目的承包单位，对发生的人身伤害、设备损坏等事故承担相应安全责任。由乙方向自己的主管上级部门及当地政府的安全生产监督管理部门、公安部门报告，并自行承担相应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第七条  违约责任及处理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（一）甲乙双方违反本合同要求，未造成事故时，依据相关合同对违约者进行处理（包括但不限于支付违约金、赔偿损失等）。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（二）在甲方港内发生事故时，甲、乙双方有抢险、救灾的责任，所发生的费用由责任方承担。</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（三）发生的事故，应经事故调查确认责任；事故报告和调查应按照国家和甲方有关规定进行。           </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（四）甲方违约造成的事故，甲方承担全部责任，并按规定追究有关人员责任及上报。</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（五）乙方违约造成的事故，乙方承担全部责任，并按规定追究有关人员责任并报告甲方。</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（六）甲、乙双方共同造成的事故，按双方责任大小承担相应责任，并按规定追究有关人员责任。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（七）对乙方发生事故后弄虚作假、隐瞒不报、迟报或谎报，一经查出，按有关规定从重处罚，情节严重的，甲方有权向当地政府安全生产监督管理部门报告，并取消其进入甲方市场资格。</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（八）作业期间，需要办理的有关安全的批文或其它手续，乙方必须办理齐全，否则发生安全事故由乙方承担全部责任。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第八条：由于不可抗力造成合同项目作业事故及生产的损失，当事人双方各自承担相应的损失。</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第九条：甲乙双方的作业人员和机具设备的保险，由甲乙双方依据国家相关规定或约定各自承担。</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第十条  本协议履行过程中发生争议纠纷，应通过友好协商方式解决，如协商不成，按双方在项目经济合同中约定的管辖地和纠纷解决的方式执行。</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第十一条：本协议是项目经济合同的附件，与项目经济合同具有同等法律效力。本协议与项目经济合同同时生效、终止。</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 乙方人员进场前安全教育培训人员；乙方作业期间指定现场安全监护人员。</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br w:type="page"/>
      </w:r>
    </w:p>
    <w:p>
      <w:pPr>
        <w:keepNext w:val="0"/>
        <w:keepLines w:val="0"/>
        <w:pageBreakBefore w:val="0"/>
        <w:widowControl/>
        <w:kinsoku/>
        <w:wordWrap/>
        <w:overflowPunct/>
        <w:topLinePunct w:val="0"/>
        <w:autoSpaceDE/>
        <w:autoSpaceDN/>
        <w:bidi w:val="0"/>
        <w:snapToGrid w:val="0"/>
        <w:spacing w:line="380" w:lineRule="exact"/>
        <w:jc w:val="center"/>
        <w:outlineLvl w:val="2"/>
        <w:rPr>
          <w:rFonts w:hint="eastAsia" w:ascii="宋体" w:hAnsi="宋体" w:eastAsia="宋体" w:cs="宋体"/>
          <w:b/>
          <w:bCs/>
          <w:color w:val="110F0F"/>
          <w:w w:val="110"/>
          <w:sz w:val="32"/>
          <w:szCs w:val="32"/>
          <w:lang w:val="en-US" w:eastAsia="zh-CN"/>
        </w:rPr>
      </w:pPr>
      <w:bookmarkStart w:id="124" w:name="_Toc20003"/>
      <w:r>
        <w:rPr>
          <w:rFonts w:hint="eastAsia" w:ascii="宋体" w:hAnsi="宋体" w:eastAsia="宋体" w:cs="宋体"/>
          <w:b/>
          <w:bCs/>
          <w:color w:val="110F0F"/>
          <w:w w:val="110"/>
          <w:sz w:val="32"/>
          <w:szCs w:val="32"/>
          <w:lang w:val="en-US" w:eastAsia="zh-CN"/>
        </w:rPr>
        <w:t>第三部分 廉政协议</w:t>
      </w:r>
      <w:bookmarkEnd w:id="124"/>
    </w:p>
    <w:p>
      <w:pPr>
        <w:pStyle w:val="17"/>
        <w:keepNext w:val="0"/>
        <w:keepLines w:val="0"/>
        <w:pageBreakBefore w:val="0"/>
        <w:widowControl/>
        <w:kinsoku/>
        <w:wordWrap/>
        <w:overflowPunct/>
        <w:topLinePunct w:val="0"/>
        <w:autoSpaceDE/>
        <w:autoSpaceDN/>
        <w:bidi w:val="0"/>
        <w:spacing w:line="380" w:lineRule="exact"/>
        <w:rPr>
          <w:rFonts w:hint="eastAsia" w:ascii="新宋体" w:hAnsi="新宋体" w:eastAsia="新宋体" w:cs="新宋体"/>
          <w:sz w:val="28"/>
          <w:szCs w:val="28"/>
        </w:rPr>
      </w:pP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为做好工程建设中的党风廉政建设，保证工程建设高效优质、建设资金的安全和投资效益，以及双方合作的公平和公正，预防发包人利益受到双方经济合同之外各种不正当行为的损害，根据国家有关项目建设的法律法规和廉政建设规定，签订本廉政协议，以资共同遵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第一条  甲乙双方的责任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（一）应严格遵守国家关于市场准入、项目招标投标、工程建设和市场活动等有关法律、法规，相关政策，以及廉政建设的各项规定。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（二）严格执行建设工程项目相关合同文件，自觉按合同办事。</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（三）业务活动必须坚持公开、公平、公正、诚信、透明的原则，不得为获取不正当的利益，损害国家、集体和对方利益。</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（四）发现对方在业务活动中有违规、违纪、违法行为的，应及时提醒对方，情节严重的，应向其上级主管部门或纪检监察部门进行举报。</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第二条  发包人的责任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发包人工作人员，在工程建设的事前、事中、事后应遵守以下规定：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（一）不得向承包人索要或接受回扣、礼金、有价证券、贵重物品和好处费、感谢费等。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（二）不得在承包人报销任何应由个人支付的费用。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（三）不得要求或接受承包人为其个人装修住房或为其配偶、子女的工作安排以及出国（境）、旅游等提供方便。</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（四）不得参加有可能影响公正执行公务的承包人的宴请、健身和娱乐等活动。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（五）不得向承包人介绍或推荐其配偶、子女及其他亲属参与承包人同发包人建设项目有关的经济活动。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（六）不得以任何理由向承包人推荐分包单位或要求承包人购买项目合同规定以外的材料、设备和服务等。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（七）其它与项目有关的党风廉政建设和预防腐败的规定。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第三条  承包人的责任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应与发包人保持正常的业务交往，按照有关法律法规和程序开展业务工作，严格执行工程建设的有关方针、政策，并遵守以下规定：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（一）不得以任何理由向发包人工作人员赠送礼金、有价证券、贵重物品和回扣、好处费、感谢费等。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（二）不得以任何理由为发包人工作人员报销应由其个人支付的费用。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（三）不得为发包人工作人员装修住房或为其配偶、子女的工作安排以及出国（境）、旅游等提供方便。</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（四）不得以任何理由邀请发包人工作人员参加有可能影响公正执行公务的宴请、健身、娱乐等活动。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（五）其它与项目有关的党风廉政建设和预防腐败的规定。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第四条  违约责任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发包人工作人员有违反本合同第一、二条行为的，经调查属实，依据有关法律法规和规定给予党纪、政纪处分或组织处理；涉嫌犯罪的，移交司法机关追究刑事责任；给承包人造成经济损失的，发包人应予以赔偿。</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承包人工作人员有违反本合同第一、三条行为的，经调查属实，依据有关法律法规和规定给予以下相应处理；给发包人造成经济损失的，承包人应予以赔偿；情节严重的，发包人建议交通工程建设主管部门给予一至三年不得进入交通建设市场的处罚；涉嫌犯罪的，移交司法机关追究刑事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双方约定：本合同由发包人或发包人上级单位的纪检监察机关负责监督执行。由发包人或发包人上级单位的纪检监察机关约请承包人行业主管部门的纪检监察机关对本合同执行情况进行检查，提出在本合同规定范围内的裁定意见。</w:t>
      </w:r>
    </w:p>
    <w:tbl>
      <w:tblPr>
        <w:tblStyle w:val="19"/>
        <w:tblpPr w:leftFromText="180" w:rightFromText="180" w:vertAnchor="text" w:horzAnchor="page" w:tblpX="1897" w:tblpY="1333"/>
        <w:tblOverlap w:val="never"/>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987"/>
        <w:gridCol w:w="2348"/>
        <w:gridCol w:w="1975"/>
        <w:gridCol w:w="22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544" w:type="pct"/>
            <w:gridSpan w:val="2"/>
            <w:tcBorders>
              <w:top w:val="single" w:color="auto" w:sz="4" w:space="0"/>
              <w:left w:val="single" w:color="auto" w:sz="4" w:space="0"/>
              <w:bottom w:val="single" w:color="auto" w:sz="4" w:space="0"/>
              <w:right w:val="single" w:color="auto" w:sz="4" w:space="0"/>
            </w:tcBorders>
          </w:tcPr>
          <w:p>
            <w:pPr>
              <w:spacing w:after="160" w:line="600" w:lineRule="exact"/>
              <w:jc w:val="center"/>
              <w:rPr>
                <w:rFonts w:ascii="宋体" w:hAnsi="宋体" w:cs="宋体"/>
                <w:kern w:val="0"/>
                <w:sz w:val="28"/>
                <w:szCs w:val="28"/>
              </w:rPr>
            </w:pPr>
            <w:r>
              <w:rPr>
                <w:rFonts w:hint="eastAsia" w:ascii="宋体" w:hAnsi="宋体" w:cs="宋体"/>
                <w:kern w:val="0"/>
                <w:sz w:val="28"/>
                <w:szCs w:val="28"/>
              </w:rPr>
              <w:t>甲    方</w:t>
            </w:r>
          </w:p>
        </w:tc>
        <w:tc>
          <w:tcPr>
            <w:tcW w:w="2455" w:type="pct"/>
            <w:gridSpan w:val="2"/>
            <w:tcBorders>
              <w:top w:val="single" w:color="auto" w:sz="4" w:space="0"/>
              <w:left w:val="single" w:color="auto" w:sz="4" w:space="0"/>
              <w:bottom w:val="single" w:color="auto" w:sz="4" w:space="0"/>
              <w:right w:val="single" w:color="auto" w:sz="4" w:space="0"/>
            </w:tcBorders>
          </w:tcPr>
          <w:p>
            <w:pPr>
              <w:spacing w:after="160" w:line="600" w:lineRule="exact"/>
              <w:jc w:val="center"/>
              <w:rPr>
                <w:rFonts w:ascii="宋体" w:hAnsi="宋体" w:cs="宋体"/>
                <w:kern w:val="0"/>
                <w:sz w:val="28"/>
                <w:szCs w:val="28"/>
              </w:rPr>
            </w:pPr>
            <w:r>
              <w:rPr>
                <w:rFonts w:hint="eastAsia" w:ascii="宋体" w:hAnsi="宋体" w:cs="宋体"/>
                <w:kern w:val="0"/>
                <w:sz w:val="28"/>
                <w:szCs w:val="28"/>
              </w:rPr>
              <w:t>乙     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单位名称：（章）</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单位名称：（章）</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单位地址</w:t>
            </w:r>
          </w:p>
        </w:tc>
        <w:tc>
          <w:tcPr>
            <w:tcW w:w="1377" w:type="pct"/>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单位地址</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default" w:ascii="宋体" w:hAnsi="宋体" w:eastAsia="宋体"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法定代表</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法定代表</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委托代理人</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委托代理人</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电话</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电话</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开户银行</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开户银行</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default" w:ascii="宋体" w:hAnsi="宋体" w:eastAsia="宋体"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8"/>
                <w:szCs w:val="28"/>
                <w:lang w:val="en-US" w:eastAsia="zh-CN"/>
              </w:rPr>
            </w:pPr>
            <w:r>
              <w:rPr>
                <w:rFonts w:hint="eastAsia" w:ascii="宋体" w:hAnsi="宋体" w:cs="宋体"/>
                <w:kern w:val="0"/>
                <w:sz w:val="28"/>
                <w:szCs w:val="28"/>
              </w:rPr>
              <w:t>账号</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账号</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default" w:ascii="宋体" w:hAnsi="宋体" w:eastAsia="宋体"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税号</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税号</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default" w:ascii="宋体" w:hAnsi="宋体" w:eastAsia="宋体"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邮编</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邮编</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default" w:ascii="宋体" w:hAnsi="宋体" w:eastAsia="宋体" w:cs="宋体"/>
                <w:kern w:val="0"/>
                <w:sz w:val="28"/>
                <w:szCs w:val="28"/>
                <w:lang w:val="en-US" w:eastAsia="zh-CN"/>
              </w:rPr>
            </w:pPr>
          </w:p>
        </w:tc>
      </w:tr>
    </w:tbl>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第五条  本合同作为甲、乙双方主合同的附件，与主合同具有同等法律效力。经双方签署后立即生效，项目决算审计后合同效力终止。</w:t>
      </w:r>
    </w:p>
    <w:p>
      <w:pPr>
        <w:adjustRightInd w:val="0"/>
        <w:snapToGrid w:val="0"/>
        <w:spacing w:line="540" w:lineRule="exact"/>
        <w:rPr>
          <w:rFonts w:ascii="宋体" w:hAnsi="宋体" w:cs="宋体"/>
          <w:sz w:val="28"/>
          <w:szCs w:val="28"/>
        </w:rPr>
      </w:pPr>
      <w:r>
        <w:rPr>
          <w:rFonts w:hint="eastAsia" w:ascii="宋体" w:hAnsi="宋体" w:cs="宋体"/>
          <w:sz w:val="28"/>
          <w:szCs w:val="28"/>
        </w:rPr>
        <w:t>签订时间：2022年  月</w:t>
      </w:r>
      <w:r>
        <w:rPr>
          <w:rFonts w:ascii="宋体" w:hAnsi="宋体" w:cs="宋体"/>
          <w:sz w:val="28"/>
          <w:szCs w:val="28"/>
        </w:rPr>
        <w:t xml:space="preserve">  </w:t>
      </w:r>
      <w:r>
        <w:rPr>
          <w:rFonts w:hint="eastAsia" w:ascii="宋体" w:hAnsi="宋体" w:cs="宋体"/>
          <w:sz w:val="28"/>
          <w:szCs w:val="28"/>
        </w:rPr>
        <w:t>日</w:t>
      </w:r>
    </w:p>
    <w:p>
      <w:pPr>
        <w:rPr>
          <w:rFonts w:ascii="微软雅黑" w:hAnsi="微软雅黑" w:eastAsia="微软雅黑"/>
          <w:sz w:val="24"/>
          <w:szCs w:val="24"/>
          <w:highlight w:val="none"/>
          <w:lang w:val="zh-CN"/>
        </w:rPr>
      </w:pPr>
      <w:r>
        <w:rPr>
          <w:rFonts w:ascii="微软雅黑" w:hAnsi="微软雅黑" w:eastAsia="微软雅黑"/>
          <w:sz w:val="24"/>
          <w:szCs w:val="24"/>
          <w:highlight w:val="none"/>
          <w:lang w:val="zh-CN"/>
        </w:rPr>
        <w:br w:type="page"/>
      </w:r>
    </w:p>
    <w:p>
      <w:pPr>
        <w:numPr>
          <w:ilvl w:val="0"/>
          <w:numId w:val="0"/>
        </w:numPr>
        <w:spacing w:line="600" w:lineRule="exact"/>
        <w:jc w:val="center"/>
        <w:outlineLvl w:val="0"/>
        <w:rPr>
          <w:rFonts w:ascii="黑体" w:hAnsi="黑体" w:eastAsia="黑体" w:cs="仿宋"/>
          <w:b/>
          <w:color w:val="000000"/>
          <w:sz w:val="36"/>
          <w:szCs w:val="36"/>
          <w:highlight w:val="none"/>
        </w:rPr>
      </w:pPr>
      <w:bookmarkStart w:id="125" w:name="_Toc21688"/>
      <w:bookmarkStart w:id="126" w:name="_Toc23920"/>
      <w:bookmarkStart w:id="127" w:name="_Toc5726"/>
      <w:r>
        <w:rPr>
          <w:rFonts w:hint="eastAsia" w:ascii="黑体" w:hAnsi="黑体" w:eastAsia="黑体" w:cs="仿宋"/>
          <w:b/>
          <w:color w:val="000000"/>
          <w:sz w:val="36"/>
          <w:szCs w:val="36"/>
          <w:highlight w:val="none"/>
          <w:lang w:val="en-US" w:eastAsia="zh-CN"/>
        </w:rPr>
        <w:t>第五章</w:t>
      </w:r>
      <w:r>
        <w:rPr>
          <w:rFonts w:hint="eastAsia" w:ascii="黑体" w:hAnsi="黑体" w:eastAsia="黑体" w:cs="仿宋"/>
          <w:b/>
          <w:color w:val="000000"/>
          <w:sz w:val="36"/>
          <w:szCs w:val="36"/>
          <w:highlight w:val="none"/>
        </w:rPr>
        <w:t xml:space="preserve"> 采购需求</w:t>
      </w:r>
      <w:bookmarkEnd w:id="125"/>
      <w:bookmarkEnd w:id="126"/>
      <w:bookmarkEnd w:id="127"/>
    </w:p>
    <w:p>
      <w:pPr>
        <w:numPr>
          <w:ilvl w:val="0"/>
          <w:numId w:val="2"/>
        </w:numPr>
        <w:spacing w:line="480" w:lineRule="exact"/>
        <w:jc w:val="both"/>
        <w:outlineLvl w:val="1"/>
        <w:rPr>
          <w:rFonts w:ascii="宋体" w:hAnsi="宋体"/>
          <w:b/>
          <w:bCs/>
          <w:sz w:val="24"/>
          <w:highlight w:val="none"/>
        </w:rPr>
      </w:pPr>
      <w:bookmarkStart w:id="128" w:name="_Toc6655"/>
      <w:r>
        <w:rPr>
          <w:rFonts w:hint="eastAsia" w:ascii="宋体" w:hAnsi="宋体"/>
          <w:b/>
          <w:bCs/>
          <w:sz w:val="24"/>
          <w:highlight w:val="none"/>
        </w:rPr>
        <w:t>采购项目名称 ：</w:t>
      </w:r>
      <w:bookmarkEnd w:id="128"/>
    </w:p>
    <w:p>
      <w:pPr>
        <w:widowControl/>
        <w:autoSpaceDE w:val="0"/>
        <w:adjustRightInd/>
        <w:snapToGrid/>
        <w:spacing w:line="600" w:lineRule="exact"/>
        <w:ind w:firstLine="480" w:firstLineChars="200"/>
        <w:jc w:val="both"/>
        <w:rPr>
          <w:rFonts w:hint="default" w:ascii="宋体" w:hAnsi="宋体" w:eastAsia="宋体" w:cs="宋体"/>
          <w:bCs/>
          <w:color w:val="000000"/>
          <w:sz w:val="24"/>
          <w:szCs w:val="24"/>
          <w:highlight w:val="none"/>
          <w:lang w:val="en-US" w:eastAsia="zh-CN"/>
        </w:rPr>
      </w:pPr>
      <w:bookmarkStart w:id="129" w:name="_Toc20295"/>
      <w:r>
        <w:rPr>
          <w:rFonts w:hint="eastAsia" w:ascii="宋体" w:hAnsi="宋体" w:eastAsia="宋体" w:cs="宋体"/>
          <w:bCs/>
          <w:color w:val="000000"/>
          <w:sz w:val="24"/>
          <w:szCs w:val="24"/>
          <w:highlight w:val="none"/>
          <w:lang w:val="en-US" w:eastAsia="zh-CN"/>
        </w:rPr>
        <w:t>城陵矶港</w:t>
      </w:r>
      <w:r>
        <w:rPr>
          <w:rFonts w:hint="eastAsia" w:ascii="宋体" w:hAnsi="宋体" w:cs="宋体"/>
          <w:bCs/>
          <w:color w:val="000000"/>
          <w:sz w:val="24"/>
          <w:szCs w:val="24"/>
          <w:highlight w:val="none"/>
          <w:lang w:val="en-US" w:eastAsia="zh-CN"/>
        </w:rPr>
        <w:t>办公</w:t>
      </w:r>
      <w:r>
        <w:rPr>
          <w:rFonts w:hint="eastAsia" w:ascii="宋体" w:hAnsi="宋体" w:eastAsia="宋体" w:cs="宋体"/>
          <w:bCs/>
          <w:color w:val="000000"/>
          <w:sz w:val="24"/>
          <w:szCs w:val="24"/>
          <w:highlight w:val="none"/>
          <w:lang w:val="en-US" w:eastAsia="zh-CN"/>
        </w:rPr>
        <w:t>大楼</w:t>
      </w:r>
      <w:r>
        <w:rPr>
          <w:rFonts w:hint="eastAsia" w:ascii="宋体" w:hAnsi="宋体" w:cs="宋体"/>
          <w:bCs/>
          <w:color w:val="000000"/>
          <w:sz w:val="24"/>
          <w:szCs w:val="24"/>
          <w:highlight w:val="none"/>
          <w:lang w:val="en-US" w:eastAsia="zh-CN"/>
        </w:rPr>
        <w:t>外墙真石漆施工</w:t>
      </w:r>
      <w:r>
        <w:rPr>
          <w:rFonts w:hint="eastAsia" w:ascii="宋体" w:hAnsi="宋体" w:eastAsia="宋体" w:cs="宋体"/>
          <w:bCs/>
          <w:color w:val="000000"/>
          <w:sz w:val="24"/>
          <w:szCs w:val="24"/>
          <w:highlight w:val="none"/>
          <w:lang w:val="en-US" w:eastAsia="zh-CN"/>
        </w:rPr>
        <w:t>项目</w:t>
      </w:r>
      <w:r>
        <w:rPr>
          <w:rFonts w:hint="eastAsia" w:ascii="宋体" w:hAnsi="宋体" w:cs="宋体"/>
          <w:bCs/>
          <w:color w:val="000000"/>
          <w:sz w:val="24"/>
          <w:szCs w:val="24"/>
          <w:highlight w:val="none"/>
          <w:lang w:val="en-US" w:eastAsia="zh-CN"/>
        </w:rPr>
        <w:t>。</w:t>
      </w:r>
    </w:p>
    <w:p>
      <w:pPr>
        <w:numPr>
          <w:ilvl w:val="0"/>
          <w:numId w:val="2"/>
        </w:numPr>
        <w:adjustRightInd w:val="0"/>
        <w:snapToGrid w:val="0"/>
        <w:spacing w:line="312" w:lineRule="auto"/>
        <w:outlineLvl w:val="1"/>
        <w:rPr>
          <w:rFonts w:ascii="宋体" w:hAnsi="宋体"/>
          <w:b/>
          <w:bCs/>
          <w:sz w:val="24"/>
          <w:highlight w:val="none"/>
        </w:rPr>
      </w:pPr>
      <w:r>
        <w:rPr>
          <w:rFonts w:hint="eastAsia" w:ascii="宋体" w:hAnsi="宋体"/>
          <w:b/>
          <w:bCs/>
          <w:sz w:val="24"/>
          <w:highlight w:val="none"/>
        </w:rPr>
        <w:t>项目概况及主要数据：</w:t>
      </w:r>
      <w:bookmarkEnd w:id="129"/>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130" w:name="_Toc12168"/>
      <w:r>
        <w:rPr>
          <w:rFonts w:hint="eastAsia" w:ascii="宋体" w:hAnsi="宋体" w:eastAsia="宋体" w:cs="宋体"/>
          <w:bCs/>
          <w:color w:val="000000"/>
          <w:sz w:val="24"/>
          <w:szCs w:val="24"/>
          <w:highlight w:val="none"/>
          <w:lang w:val="en-US" w:eastAsia="zh-CN"/>
        </w:rPr>
        <w:t>岳阳城陵矶港</w:t>
      </w:r>
      <w:r>
        <w:rPr>
          <w:rFonts w:hint="eastAsia" w:ascii="宋体" w:hAnsi="宋体" w:cs="宋体"/>
          <w:bCs/>
          <w:color w:val="000000"/>
          <w:sz w:val="24"/>
          <w:szCs w:val="24"/>
          <w:highlight w:val="none"/>
          <w:lang w:val="en-US" w:eastAsia="zh-CN"/>
        </w:rPr>
        <w:t>办公楼</w:t>
      </w:r>
      <w:r>
        <w:rPr>
          <w:rFonts w:hint="eastAsia" w:ascii="宋体" w:hAnsi="宋体" w:eastAsia="宋体" w:cs="宋体"/>
          <w:bCs/>
          <w:color w:val="000000"/>
          <w:sz w:val="24"/>
          <w:szCs w:val="24"/>
          <w:highlight w:val="none"/>
          <w:lang w:val="en-US" w:eastAsia="zh-CN"/>
        </w:rPr>
        <w:t>使用年限长，</w:t>
      </w:r>
      <w:r>
        <w:rPr>
          <w:rFonts w:hint="eastAsia" w:ascii="宋体" w:hAnsi="宋体" w:cs="宋体"/>
          <w:bCs/>
          <w:color w:val="000000"/>
          <w:sz w:val="24"/>
          <w:szCs w:val="24"/>
          <w:highlight w:val="none"/>
          <w:lang w:val="en-US" w:eastAsia="zh-CN"/>
        </w:rPr>
        <w:t>外墙</w:t>
      </w:r>
      <w:r>
        <w:rPr>
          <w:rFonts w:hint="eastAsia" w:ascii="宋体" w:hAnsi="宋体" w:eastAsia="宋体" w:cs="宋体"/>
          <w:bCs/>
          <w:color w:val="000000"/>
          <w:sz w:val="24"/>
          <w:szCs w:val="24"/>
          <w:highlight w:val="none"/>
          <w:lang w:val="en-US" w:eastAsia="zh-CN"/>
        </w:rPr>
        <w:t>防水层出现破损渗水漏水现象严重。部分</w:t>
      </w:r>
      <w:r>
        <w:rPr>
          <w:rFonts w:hint="eastAsia" w:ascii="宋体" w:hAnsi="宋体" w:cs="宋体"/>
          <w:bCs/>
          <w:color w:val="000000"/>
          <w:sz w:val="24"/>
          <w:szCs w:val="24"/>
          <w:highlight w:val="none"/>
          <w:lang w:val="en-US" w:eastAsia="zh-CN"/>
        </w:rPr>
        <w:t>外墙</w:t>
      </w:r>
      <w:r>
        <w:rPr>
          <w:rFonts w:hint="eastAsia" w:ascii="宋体" w:hAnsi="宋体" w:eastAsia="宋体" w:cs="宋体"/>
          <w:bCs/>
          <w:color w:val="000000"/>
          <w:sz w:val="24"/>
          <w:szCs w:val="24"/>
          <w:highlight w:val="none"/>
          <w:lang w:val="en-US" w:eastAsia="zh-CN"/>
        </w:rPr>
        <w:t>渗漏</w:t>
      </w:r>
      <w:r>
        <w:rPr>
          <w:rFonts w:hint="eastAsia" w:ascii="宋体" w:hAnsi="宋体" w:cs="宋体"/>
          <w:bCs/>
          <w:color w:val="000000"/>
          <w:sz w:val="24"/>
          <w:szCs w:val="24"/>
          <w:highlight w:val="none"/>
          <w:lang w:val="en-US" w:eastAsia="zh-CN"/>
        </w:rPr>
        <w:t>破损</w:t>
      </w:r>
      <w:r>
        <w:rPr>
          <w:rFonts w:hint="eastAsia" w:ascii="宋体" w:hAnsi="宋体" w:eastAsia="宋体" w:cs="宋体"/>
          <w:bCs/>
          <w:color w:val="000000"/>
          <w:sz w:val="24"/>
          <w:szCs w:val="24"/>
          <w:highlight w:val="none"/>
          <w:lang w:val="en-US" w:eastAsia="zh-CN"/>
        </w:rPr>
        <w:t>严重需</w:t>
      </w:r>
      <w:r>
        <w:rPr>
          <w:rFonts w:hint="eastAsia" w:ascii="宋体" w:hAnsi="宋体" w:cs="宋体"/>
          <w:bCs/>
          <w:color w:val="000000"/>
          <w:sz w:val="24"/>
          <w:szCs w:val="24"/>
          <w:highlight w:val="none"/>
          <w:lang w:val="en-US" w:eastAsia="zh-CN"/>
        </w:rPr>
        <w:t>进行外墙翻实施（外墙为瓷砖）</w:t>
      </w:r>
      <w:r>
        <w:rPr>
          <w:rFonts w:hint="eastAsia" w:ascii="宋体" w:hAnsi="宋体" w:eastAsia="宋体" w:cs="宋体"/>
          <w:bCs/>
          <w:color w:val="000000"/>
          <w:sz w:val="24"/>
          <w:szCs w:val="24"/>
          <w:highlight w:val="none"/>
          <w:lang w:val="en-US" w:eastAsia="zh-CN"/>
        </w:rPr>
        <w:t>。</w:t>
      </w:r>
    </w:p>
    <w:p>
      <w:pPr>
        <w:numPr>
          <w:ilvl w:val="0"/>
          <w:numId w:val="2"/>
        </w:numPr>
        <w:adjustRightInd w:val="0"/>
        <w:snapToGrid w:val="0"/>
        <w:spacing w:line="312" w:lineRule="auto"/>
        <w:outlineLvl w:val="1"/>
        <w:rPr>
          <w:rFonts w:ascii="宋体" w:hAnsi="宋体"/>
          <w:b/>
          <w:bCs/>
          <w:sz w:val="24"/>
          <w:highlight w:val="none"/>
        </w:rPr>
      </w:pPr>
      <w:r>
        <w:rPr>
          <w:rFonts w:hint="eastAsia" w:ascii="宋体" w:hAnsi="宋体"/>
          <w:b/>
          <w:bCs/>
          <w:sz w:val="24"/>
          <w:highlight w:val="none"/>
        </w:rPr>
        <w:t>服务承包范围：</w:t>
      </w:r>
      <w:bookmarkEnd w:id="13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承接本工程的施工项目，包工包料。工程项目及工程量如下：</w:t>
      </w:r>
    </w:p>
    <w:p>
      <w:pPr>
        <w:numPr>
          <w:ilvl w:val="0"/>
          <w:numId w:val="3"/>
        </w:numPr>
        <w:adjustRightInd w:val="0"/>
        <w:snapToGrid w:val="0"/>
        <w:spacing w:line="540" w:lineRule="exact"/>
        <w:ind w:firstLine="480" w:firstLineChars="200"/>
        <w:rPr>
          <w:rFonts w:hint="eastAsia" w:ascii="宋体" w:hAnsi="宋体" w:cs="Times New Roman"/>
          <w:sz w:val="24"/>
          <w:lang w:val="en-US" w:eastAsia="zh-CN"/>
        </w:rPr>
      </w:pPr>
      <w:bookmarkStart w:id="131" w:name="_Toc8235"/>
      <w:r>
        <w:rPr>
          <w:rFonts w:hint="eastAsia" w:ascii="宋体" w:hAnsi="宋体" w:cs="宋体"/>
          <w:bCs/>
          <w:color w:val="000000"/>
          <w:sz w:val="24"/>
          <w:szCs w:val="24"/>
          <w:highlight w:val="none"/>
          <w:lang w:val="en-US" w:eastAsia="zh-CN"/>
        </w:rPr>
        <w:t>岳阳城陵矶港办公大楼外墙翻新，采用真石漆</w:t>
      </w:r>
      <w:r>
        <w:rPr>
          <w:rFonts w:hint="eastAsia" w:ascii="宋体" w:hAnsi="宋体" w:eastAsia="宋体" w:cs="Times New Roman"/>
          <w:sz w:val="24"/>
          <w:lang w:val="en-US" w:eastAsia="zh-CN"/>
        </w:rPr>
        <w:t>（施工面积约800m²</w:t>
      </w:r>
      <w:r>
        <w:rPr>
          <w:rFonts w:hint="eastAsia" w:ascii="宋体" w:hAnsi="宋体" w:cs="Times New Roman"/>
          <w:sz w:val="24"/>
          <w:lang w:val="en-US" w:eastAsia="zh-CN"/>
        </w:rPr>
        <w:t>，楼层为7层</w:t>
      </w:r>
      <w:r>
        <w:rPr>
          <w:rFonts w:hint="eastAsia" w:ascii="宋体" w:hAnsi="宋体" w:eastAsia="宋体" w:cs="Times New Roman"/>
          <w:sz w:val="24"/>
          <w:lang w:val="en-US" w:eastAsia="zh-CN"/>
        </w:rPr>
        <w:t>）</w:t>
      </w:r>
      <w:r>
        <w:rPr>
          <w:rFonts w:hint="eastAsia" w:ascii="宋体" w:hAnsi="宋体" w:cs="Times New Roman"/>
          <w:sz w:val="24"/>
          <w:lang w:val="en-US" w:eastAsia="zh-CN"/>
        </w:rPr>
        <w:t>外墙翻新施工工艺。外墙为瓷砖前面，要求不进行铲底对瓷砖外墙进行真石漆施工。</w:t>
      </w:r>
    </w:p>
    <w:p>
      <w:pPr>
        <w:pStyle w:val="2"/>
        <w:numPr>
          <w:ilvl w:val="0"/>
          <w:numId w:val="3"/>
        </w:numPr>
        <w:rPr>
          <w:rFonts w:hint="default"/>
          <w:lang w:val="en-US" w:eastAsia="zh-CN"/>
        </w:rPr>
      </w:pPr>
      <w:r>
        <w:rPr>
          <w:rFonts w:hint="eastAsia"/>
          <w:lang w:val="en-US" w:eastAsia="zh-CN"/>
        </w:rPr>
        <w:t>基本施工工艺要求:</w:t>
      </w: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85"/>
        <w:gridCol w:w="2458"/>
        <w:gridCol w:w="1249"/>
        <w:gridCol w:w="946"/>
        <w:gridCol w:w="1249"/>
        <w:gridCol w:w="1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85"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施工工序</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材料</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施工工具</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涂次数</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color w:val="000000"/>
                <w:sz w:val="24"/>
                <w:szCs w:val="24"/>
                <w:lang w:val="en-US"/>
              </w:rPr>
            </w:pPr>
            <w:r>
              <w:rPr>
                <w:rFonts w:hint="eastAsia" w:ascii="宋体" w:hAnsi="宋体" w:eastAsia="宋体" w:cs="宋体"/>
                <w:i w:val="0"/>
                <w:iCs w:val="0"/>
                <w:color w:val="000000"/>
                <w:kern w:val="0"/>
                <w:sz w:val="24"/>
                <w:szCs w:val="24"/>
                <w:u w:val="none"/>
                <w:lang w:val="en-US" w:eastAsia="zh-CN" w:bidi="ar"/>
              </w:rPr>
              <w:t>施工间隔</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理论用量</w:t>
            </w:r>
          </w:p>
          <w:p>
            <w:pPr>
              <w:keepNext w:val="0"/>
              <w:keepLines w:val="0"/>
              <w:widowControl/>
              <w:suppressLineNumbers w:val="0"/>
              <w:jc w:val="center"/>
              <w:textAlignment w:val="center"/>
              <w:rPr>
                <w:rFonts w:hint="default"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kg/</w:t>
            </w:r>
            <w:r>
              <w:rPr>
                <w:rFonts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05" w:hRule="atLeast"/>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基层处理</w:t>
            </w:r>
          </w:p>
        </w:tc>
        <w:tc>
          <w:tcPr>
            <w:tcW w:w="715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空鼓渗漏部位处理完毕后清理基层，然后涂膜界面粘结剂</w:t>
            </w:r>
            <w:r>
              <w:rPr>
                <w:rStyle w:val="35"/>
                <w:rFonts w:eastAsia="宋体"/>
                <w:lang w:val="en-US" w:eastAsia="zh-CN" w:bidi="ar"/>
              </w:rPr>
              <w:t>2-3</w:t>
            </w:r>
            <w:r>
              <w:rPr>
                <w:rStyle w:val="36"/>
                <w:lang w:val="en-US" w:eastAsia="zh-CN" w:bidi="ar"/>
              </w:rPr>
              <w:t>道填补缝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color w:val="000000"/>
                <w:sz w:val="24"/>
                <w:szCs w:val="24"/>
              </w:rPr>
            </w:pPr>
          </w:p>
        </w:tc>
        <w:tc>
          <w:tcPr>
            <w:tcW w:w="715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隙并做到初平，干燥后批嵌外墙防水腻子两道，打磨平整光滑。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基层保护</w:t>
            </w:r>
          </w:p>
        </w:tc>
        <w:tc>
          <w:tcPr>
            <w:tcW w:w="715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用美纹纸、胶带、保护膜将非喷涂部位全部密闭保护，以防污染。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弹线分隔</w:t>
            </w:r>
          </w:p>
        </w:tc>
        <w:tc>
          <w:tcPr>
            <w:tcW w:w="715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按业主或设计要求，在底漆施工前后进行皆可，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涂底漆</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真石漆底漆</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毛滚筒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color w:val="000000"/>
                <w:sz w:val="24"/>
                <w:szCs w:val="24"/>
                <w:lang w:val="en-US"/>
              </w:rPr>
            </w:pPr>
            <w:r>
              <w:rPr>
                <w:rFonts w:hint="default" w:ascii="Calibri" w:hAnsi="Calibri" w:eastAsia="宋体" w:cs="Calibri"/>
                <w:i w:val="0"/>
                <w:iCs w:val="0"/>
                <w:color w:val="000000"/>
                <w:kern w:val="0"/>
                <w:sz w:val="24"/>
                <w:szCs w:val="24"/>
                <w:u w:val="none"/>
                <w:lang w:val="en-US" w:eastAsia="zh-CN" w:bidi="ar"/>
              </w:rPr>
              <w:t>1</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color w:val="000000"/>
                <w:sz w:val="24"/>
                <w:szCs w:val="24"/>
                <w:lang w:val="en-US"/>
              </w:rPr>
            </w:pPr>
            <w:r>
              <w:rPr>
                <w:rFonts w:hint="default" w:ascii="Calibri" w:hAnsi="Calibri" w:eastAsia="宋体" w:cs="Calibri"/>
                <w:i w:val="0"/>
                <w:iCs w:val="0"/>
                <w:color w:val="000000"/>
                <w:kern w:val="0"/>
                <w:sz w:val="24"/>
                <w:szCs w:val="24"/>
                <w:u w:val="none"/>
                <w:lang w:val="en-US" w:eastAsia="zh-CN" w:bidi="ar"/>
              </w:rPr>
              <w:t>4</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color w:val="000000"/>
                <w:sz w:val="24"/>
                <w:szCs w:val="24"/>
                <w:lang w:val="en-US"/>
              </w:rPr>
            </w:pPr>
            <w:r>
              <w:rPr>
                <w:rFonts w:hint="default" w:ascii="Calibri" w:hAnsi="Calibri" w:eastAsia="宋体" w:cs="Calibri"/>
                <w:i w:val="0"/>
                <w:iCs w:val="0"/>
                <w:color w:val="000000"/>
                <w:kern w:val="0"/>
                <w:sz w:val="24"/>
                <w:szCs w:val="24"/>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color w:val="00000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喷主材</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color w:val="00000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真石漆（博彩石）</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color w:val="00000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喷</w:t>
            </w:r>
            <w:r>
              <w:rPr>
                <w:rStyle w:val="36"/>
                <w:lang w:val="en-US" w:eastAsia="zh-CN" w:bidi="ar"/>
              </w:rPr>
              <w:t>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color w:val="000000"/>
                <w:kern w:val="0"/>
                <w:sz w:val="24"/>
                <w:szCs w:val="24"/>
                <w:lang w:val="en-US" w:eastAsia="zh-CN" w:bidi="ar"/>
              </w:rPr>
            </w:pPr>
            <w:r>
              <w:rPr>
                <w:rFonts w:hint="default" w:ascii="Calibri" w:hAnsi="Calibri" w:eastAsia="宋体" w:cs="Calibri"/>
                <w:i w:val="0"/>
                <w:iCs w:val="0"/>
                <w:color w:val="000000"/>
                <w:kern w:val="0"/>
                <w:sz w:val="24"/>
                <w:szCs w:val="24"/>
                <w:u w:val="none"/>
                <w:lang w:val="en-US" w:eastAsia="zh-CN" w:bidi="ar"/>
              </w:rPr>
              <w:t>1-2</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color w:val="000000"/>
                <w:kern w:val="0"/>
                <w:sz w:val="24"/>
                <w:szCs w:val="24"/>
                <w:lang w:val="en-US" w:eastAsia="zh-CN" w:bidi="ar"/>
              </w:rPr>
            </w:pPr>
            <w:r>
              <w:rPr>
                <w:rFonts w:hint="default" w:ascii="Calibri" w:hAnsi="Calibri" w:eastAsia="宋体" w:cs="Calibri"/>
                <w:i w:val="0"/>
                <w:iCs w:val="0"/>
                <w:color w:val="000000"/>
                <w:kern w:val="0"/>
                <w:sz w:val="24"/>
                <w:szCs w:val="24"/>
                <w:u w:val="none"/>
                <w:lang w:val="en-US" w:eastAsia="zh-CN" w:bidi="ar"/>
              </w:rPr>
              <w:t>1-2</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color w:val="000000"/>
                <w:kern w:val="0"/>
                <w:sz w:val="24"/>
                <w:szCs w:val="24"/>
                <w:lang w:val="en-US" w:eastAsia="zh-CN" w:bidi="ar"/>
              </w:rPr>
            </w:pPr>
            <w:r>
              <w:rPr>
                <w:rFonts w:hint="default" w:ascii="Calibri" w:hAnsi="Calibri" w:eastAsia="宋体" w:cs="Calibri"/>
                <w:i w:val="0"/>
                <w:iCs w:val="0"/>
                <w:color w:val="000000"/>
                <w:kern w:val="0"/>
                <w:sz w:val="24"/>
                <w:szCs w:val="24"/>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color w:val="00000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撕缝清理</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color w:val="000000"/>
                <w:kern w:val="0"/>
                <w:sz w:val="24"/>
                <w:szCs w:val="24"/>
                <w:lang w:val="en-US" w:eastAsia="zh-CN" w:bidi="ar"/>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color w:val="00000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铲刀等</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color w:val="000000"/>
                <w:kern w:val="0"/>
                <w:sz w:val="24"/>
                <w:szCs w:val="24"/>
                <w:lang w:val="en-US" w:eastAsia="zh-CN" w:bidi="ar"/>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color w:val="000000"/>
                <w:kern w:val="0"/>
                <w:sz w:val="24"/>
                <w:szCs w:val="24"/>
                <w:lang w:val="en-US" w:eastAsia="zh-CN" w:bidi="ar"/>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color w:val="000000"/>
                <w:kern w:val="0"/>
                <w:sz w:val="24"/>
                <w:szCs w:val="24"/>
                <w:lang w:val="en-US" w:eastAsia="zh-CN" w:bidi="ar"/>
              </w:rPr>
            </w:pPr>
          </w:p>
        </w:tc>
      </w:tr>
    </w:tbl>
    <w:p>
      <w:pPr>
        <w:rPr>
          <w:rFonts w:hint="default"/>
          <w:sz w:val="24"/>
          <w:szCs w:val="32"/>
          <w:lang w:val="en-US" w:eastAsia="zh-CN"/>
        </w:rPr>
      </w:pPr>
      <w:r>
        <w:rPr>
          <w:rFonts w:hint="eastAsia"/>
          <w:sz w:val="24"/>
          <w:szCs w:val="32"/>
          <w:lang w:val="en-US" w:eastAsia="zh-CN"/>
        </w:rPr>
        <w:t>注：此表工艺为基本工艺。</w:t>
      </w:r>
    </w:p>
    <w:p>
      <w:pPr>
        <w:pStyle w:val="2"/>
        <w:numPr>
          <w:ilvl w:val="0"/>
          <w:numId w:val="3"/>
        </w:numPr>
        <w:ind w:left="420" w:leftChars="200" w:firstLine="0" w:firstLineChars="0"/>
        <w:rPr>
          <w:rFonts w:hint="eastAsia"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投标文件中投标方需提交施工方案及主要材料清单品牌。</w:t>
      </w:r>
    </w:p>
    <w:p>
      <w:pPr>
        <w:numPr>
          <w:ilvl w:val="0"/>
          <w:numId w:val="0"/>
        </w:numPr>
        <w:spacing w:line="360" w:lineRule="exact"/>
        <w:rPr>
          <w:rFonts w:hint="default"/>
          <w:lang w:val="en-US" w:eastAsia="zh-CN"/>
        </w:rPr>
      </w:pPr>
    </w:p>
    <w:p>
      <w:pPr>
        <w:pStyle w:val="2"/>
        <w:rPr>
          <w:rFonts w:hint="default"/>
          <w:lang w:val="en-US" w:eastAsia="zh-CN"/>
        </w:rPr>
      </w:pPr>
    </w:p>
    <w:p>
      <w:pPr>
        <w:numPr>
          <w:ilvl w:val="0"/>
          <w:numId w:val="2"/>
        </w:numPr>
        <w:adjustRightInd w:val="0"/>
        <w:snapToGrid w:val="0"/>
        <w:spacing w:line="312" w:lineRule="auto"/>
        <w:outlineLvl w:val="1"/>
        <w:rPr>
          <w:rFonts w:ascii="宋体" w:hAnsi="宋体"/>
          <w:b/>
          <w:bCs/>
          <w:sz w:val="24"/>
          <w:highlight w:val="none"/>
        </w:rPr>
      </w:pPr>
      <w:r>
        <w:rPr>
          <w:rFonts w:hint="eastAsia" w:ascii="宋体" w:hAnsi="宋体"/>
          <w:b/>
          <w:bCs/>
          <w:sz w:val="24"/>
          <w:highlight w:val="none"/>
        </w:rPr>
        <w:t>服务要求、质量和标准：</w:t>
      </w:r>
      <w:bookmarkEnd w:id="131"/>
    </w:p>
    <w:p>
      <w:pPr>
        <w:adjustRightInd w:val="0"/>
        <w:snapToGrid w:val="0"/>
        <w:spacing w:line="540" w:lineRule="exact"/>
        <w:ind w:firstLine="480" w:firstLineChars="200"/>
        <w:rPr>
          <w:rFonts w:hint="eastAsia" w:ascii="宋体" w:hAnsi="宋体" w:cs="宋体"/>
          <w:bCs/>
          <w:color w:val="000000"/>
          <w:sz w:val="24"/>
          <w:szCs w:val="24"/>
          <w:highlight w:val="none"/>
          <w:lang w:val="en-US" w:eastAsia="zh-CN"/>
        </w:rPr>
      </w:pPr>
      <w:bookmarkStart w:id="132" w:name="_Toc9470"/>
      <w:r>
        <w:rPr>
          <w:rFonts w:hint="eastAsia" w:ascii="宋体" w:hAnsi="宋体" w:cs="宋体"/>
          <w:bCs/>
          <w:color w:val="000000"/>
          <w:sz w:val="24"/>
          <w:szCs w:val="24"/>
          <w:highlight w:val="none"/>
          <w:lang w:val="en-US" w:eastAsia="zh-CN"/>
        </w:rPr>
        <w:t>1、建筑涂料》JG/T 172—2005、《水性涂料环境标志产品技术要求》HG/T201-2005、《建筑外墙用腻子》JG/T157-2004、《建筑装饰装修工程质量验收规》GB50210-2001《建筑涂饰工程施工及验收规范》JGJ/T29-2003等标准。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2</w:t>
      </w:r>
      <w:r>
        <w:rPr>
          <w:rFonts w:hint="eastAsia" w:ascii="宋体" w:hAnsi="宋体" w:eastAsia="宋体" w:cs="宋体"/>
          <w:bCs/>
          <w:color w:val="000000"/>
          <w:sz w:val="24"/>
          <w:szCs w:val="24"/>
          <w:highlight w:val="none"/>
          <w:lang w:val="en-US" w:eastAsia="zh-CN"/>
        </w:rPr>
        <w:t>、本工程严格按照招标方质量管理体系的要求，进行工程质量控制，并按招标方有关要求填报相关表格，交招标方整理存档。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3</w:t>
      </w:r>
      <w:r>
        <w:rPr>
          <w:rFonts w:hint="eastAsia" w:ascii="宋体" w:hAnsi="宋体" w:eastAsia="宋体" w:cs="宋体"/>
          <w:bCs/>
          <w:color w:val="000000"/>
          <w:sz w:val="24"/>
          <w:szCs w:val="24"/>
          <w:highlight w:val="none"/>
          <w:lang w:val="en-US" w:eastAsia="zh-CN"/>
        </w:rPr>
        <w:t>、所承包的工程结束，满足安全性、可靠性、使用性能的要求（开工前签订安全施工责任合同），符合国家最新相关施工验收规范、检验标准的要求。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4</w:t>
      </w:r>
      <w:r>
        <w:rPr>
          <w:rFonts w:hint="eastAsia" w:ascii="宋体" w:hAnsi="宋体" w:eastAsia="宋体" w:cs="宋体"/>
          <w:bCs/>
          <w:color w:val="000000"/>
          <w:sz w:val="24"/>
          <w:szCs w:val="24"/>
          <w:highlight w:val="none"/>
          <w:lang w:val="en-US" w:eastAsia="zh-CN"/>
        </w:rPr>
        <w:t>、工程质量保修期按从竣工验收合格后</w:t>
      </w:r>
      <w:r>
        <w:rPr>
          <w:rFonts w:hint="eastAsia" w:ascii="宋体" w:hAnsi="宋体" w:cs="宋体"/>
          <w:bCs/>
          <w:color w:val="000000"/>
          <w:sz w:val="24"/>
          <w:szCs w:val="24"/>
          <w:highlight w:val="none"/>
          <w:lang w:val="en-US" w:eastAsia="zh-CN"/>
        </w:rPr>
        <w:t>12</w:t>
      </w:r>
      <w:r>
        <w:rPr>
          <w:rFonts w:hint="eastAsia" w:ascii="宋体" w:hAnsi="宋体" w:eastAsia="宋体" w:cs="宋体"/>
          <w:bCs/>
          <w:color w:val="000000"/>
          <w:sz w:val="24"/>
          <w:szCs w:val="24"/>
          <w:highlight w:val="none"/>
          <w:lang w:val="en-US" w:eastAsia="zh-CN"/>
        </w:rPr>
        <w:t>个月执行。工程质量保修期起始日期自竣工验收报告签署之日起。</w:t>
      </w:r>
    </w:p>
    <w:p>
      <w:pPr>
        <w:pStyle w:val="2"/>
        <w:rPr>
          <w:rFonts w:hint="eastAsia"/>
          <w:lang w:val="en-US" w:eastAsia="zh-CN"/>
        </w:rPr>
      </w:pPr>
    </w:p>
    <w:p>
      <w:pPr>
        <w:spacing w:line="312" w:lineRule="auto"/>
        <w:outlineLvl w:val="1"/>
        <w:rPr>
          <w:rFonts w:ascii="宋体" w:hAnsi="宋体"/>
          <w:b/>
          <w:bCs/>
          <w:sz w:val="24"/>
          <w:highlight w:val="none"/>
        </w:rPr>
      </w:pPr>
      <w:r>
        <w:rPr>
          <w:rFonts w:hint="eastAsia" w:ascii="宋体" w:hAnsi="宋体"/>
          <w:b/>
          <w:bCs/>
          <w:sz w:val="24"/>
          <w:highlight w:val="none"/>
        </w:rPr>
        <w:t>（五</w:t>
      </w:r>
      <w:r>
        <w:rPr>
          <w:rFonts w:ascii="宋体" w:hAnsi="宋体"/>
          <w:b/>
          <w:bCs/>
          <w:sz w:val="24"/>
          <w:highlight w:val="none"/>
        </w:rPr>
        <w:t>）</w:t>
      </w:r>
      <w:r>
        <w:rPr>
          <w:rFonts w:hint="eastAsia" w:ascii="宋体" w:hAnsi="宋体"/>
          <w:b/>
          <w:bCs/>
          <w:sz w:val="24"/>
          <w:highlight w:val="none"/>
        </w:rPr>
        <w:t>工期及验收：</w:t>
      </w:r>
      <w:bookmarkEnd w:id="132"/>
    </w:p>
    <w:p>
      <w:pPr>
        <w:adjustRightInd w:val="0"/>
        <w:snapToGrid w:val="0"/>
        <w:spacing w:line="540" w:lineRule="exact"/>
        <w:ind w:firstLine="480" w:firstLineChars="200"/>
        <w:rPr>
          <w:rFonts w:hint="eastAsia"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1、本工程工期为20个日历日；</w:t>
      </w:r>
    </w:p>
    <w:p>
      <w:pPr>
        <w:adjustRightInd w:val="0"/>
        <w:snapToGrid w:val="0"/>
        <w:spacing w:line="540" w:lineRule="exact"/>
        <w:ind w:firstLine="480" w:firstLineChars="200"/>
        <w:rPr>
          <w:rFonts w:hint="eastAsia"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2、外观验收标准；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1）饰面不允许出现掉粉、起皮等现象；</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2）饰面不得有返碱、咬色等现象；</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3）饰面不得出现漏涂、透庭等现象；</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4）饰面斑点的疏密要均匀。在1米之内，正视、斜视喷点均匀，不允许连片；</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5）饰面颜色要均匀一致；</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6）涂饰时要保证周围的门窗、玻璃等的清洁。</w:t>
      </w:r>
    </w:p>
    <w:p>
      <w:pPr>
        <w:pStyle w:val="2"/>
        <w:rPr>
          <w:rFonts w:hint="eastAsia"/>
          <w:lang w:eastAsia="zh-CN"/>
        </w:rPr>
      </w:pPr>
    </w:p>
    <w:p>
      <w:pPr>
        <w:pStyle w:val="17"/>
        <w:ind w:firstLine="0"/>
        <w:outlineLvl w:val="1"/>
        <w:rPr>
          <w:rFonts w:hint="eastAsia" w:hAnsi="宋体" w:eastAsia="宋体" w:cs="宋体"/>
          <w:szCs w:val="24"/>
          <w:highlight w:val="none"/>
          <w:lang w:val="en-US" w:eastAsia="zh-CN"/>
        </w:rPr>
      </w:pPr>
      <w:bookmarkStart w:id="133" w:name="_Toc12667"/>
      <w:r>
        <w:rPr>
          <w:rFonts w:hint="eastAsia" w:hAnsi="宋体"/>
          <w:b/>
          <w:bCs/>
          <w:highlight w:val="none"/>
        </w:rPr>
        <w:t>（六）</w:t>
      </w:r>
      <w:r>
        <w:rPr>
          <w:rFonts w:hAnsi="宋体"/>
          <w:b/>
          <w:bCs/>
          <w:highlight w:val="none"/>
        </w:rPr>
        <w:t>适用法规政策目</w:t>
      </w:r>
      <w:bookmarkEnd w:id="133"/>
      <w:r>
        <w:rPr>
          <w:rFonts w:hint="eastAsia" w:hAnsi="宋体"/>
          <w:b/>
          <w:bCs/>
          <w:highlight w:val="none"/>
          <w:lang w:val="en-US" w:eastAsia="zh-CN"/>
        </w:rPr>
        <w:t>录</w:t>
      </w:r>
    </w:p>
    <w:p>
      <w:pPr>
        <w:numPr>
          <w:ilvl w:val="255"/>
          <w:numId w:val="0"/>
        </w:numPr>
        <w:spacing w:line="312" w:lineRule="auto"/>
        <w:ind w:firstLine="480" w:firstLineChars="200"/>
        <w:rPr>
          <w:rFonts w:hint="eastAsia" w:ascii="宋体" w:hAnsi="宋体" w:cs="宋体"/>
          <w:sz w:val="24"/>
          <w:highlight w:val="none"/>
        </w:rPr>
      </w:pPr>
      <w:r>
        <w:rPr>
          <w:rFonts w:hint="eastAsia" w:ascii="宋体" w:hAnsi="宋体" w:cs="宋体"/>
          <w:sz w:val="24"/>
          <w:highlight w:val="none"/>
        </w:rPr>
        <w:t>ISO14001环境管理</w:t>
      </w:r>
    </w:p>
    <w:p>
      <w:pPr>
        <w:pStyle w:val="17"/>
      </w:pPr>
    </w:p>
    <w:p>
      <w:pPr>
        <w:adjustRightInd w:val="0"/>
        <w:snapToGrid w:val="0"/>
        <w:spacing w:line="312" w:lineRule="auto"/>
        <w:outlineLvl w:val="1"/>
        <w:rPr>
          <w:rFonts w:hint="default" w:ascii="宋体" w:hAnsi="宋体" w:eastAsia="宋体"/>
          <w:sz w:val="24"/>
          <w:highlight w:val="none"/>
          <w:lang w:val="en-US" w:eastAsia="zh-CN"/>
        </w:rPr>
      </w:pPr>
      <w:bookmarkStart w:id="134" w:name="_Toc7572"/>
      <w:r>
        <w:rPr>
          <w:rFonts w:hint="eastAsia" w:ascii="宋体" w:hAnsi="宋体"/>
          <w:b/>
          <w:bCs/>
          <w:sz w:val="24"/>
          <w:highlight w:val="none"/>
        </w:rPr>
        <w:t>（七</w:t>
      </w:r>
      <w:r>
        <w:rPr>
          <w:rFonts w:ascii="宋体" w:hAnsi="宋体"/>
          <w:b/>
          <w:bCs/>
          <w:sz w:val="24"/>
          <w:highlight w:val="none"/>
        </w:rPr>
        <w:t>）</w:t>
      </w:r>
      <w:r>
        <w:rPr>
          <w:rFonts w:hint="eastAsia" w:ascii="宋体" w:hAnsi="宋体"/>
          <w:b/>
          <w:bCs/>
          <w:sz w:val="24"/>
          <w:highlight w:val="none"/>
        </w:rPr>
        <w:t>其它需要说明的事项：</w:t>
      </w:r>
      <w:bookmarkEnd w:id="134"/>
      <w:r>
        <w:rPr>
          <w:rFonts w:hint="eastAsia" w:ascii="宋体" w:hAnsi="宋体"/>
          <w:b/>
          <w:bCs/>
          <w:sz w:val="24"/>
          <w:highlight w:val="none"/>
          <w:lang w:val="en-US" w:eastAsia="zh-CN"/>
        </w:rPr>
        <w:t>投标文件包含施工方案，并标明主体涂料材料的品牌及主要规格性能参数。</w:t>
      </w:r>
    </w:p>
    <w:p>
      <w:pPr>
        <w:rPr>
          <w:rFonts w:ascii="微软雅黑" w:hAnsi="微软雅黑" w:eastAsia="微软雅黑"/>
          <w:sz w:val="24"/>
          <w:szCs w:val="24"/>
          <w:highlight w:val="none"/>
          <w:lang w:val="zh-CN"/>
        </w:rPr>
      </w:pPr>
      <w:r>
        <w:rPr>
          <w:rFonts w:ascii="微软雅黑" w:hAnsi="微软雅黑" w:eastAsia="微软雅黑"/>
          <w:sz w:val="24"/>
          <w:szCs w:val="24"/>
          <w:highlight w:val="none"/>
          <w:lang w:val="zh-CN"/>
        </w:rPr>
        <w:br w:type="page"/>
      </w:r>
    </w:p>
    <w:p>
      <w:pPr>
        <w:spacing w:line="312" w:lineRule="auto"/>
        <w:jc w:val="center"/>
        <w:outlineLvl w:val="0"/>
        <w:rPr>
          <w:rFonts w:ascii="黑体" w:hAnsi="黑体" w:eastAsia="黑体" w:cs="仿宋"/>
          <w:b/>
          <w:color w:val="000000"/>
          <w:sz w:val="36"/>
          <w:szCs w:val="36"/>
          <w:highlight w:val="none"/>
        </w:rPr>
      </w:pPr>
      <w:bookmarkStart w:id="135" w:name="_Toc15693"/>
      <w:bookmarkStart w:id="136" w:name="_Toc14418"/>
      <w:bookmarkStart w:id="137" w:name="_Toc14210"/>
      <w:r>
        <w:rPr>
          <w:rFonts w:hint="eastAsia" w:ascii="黑体" w:hAnsi="黑体" w:eastAsia="黑体" w:cs="仿宋"/>
          <w:b/>
          <w:color w:val="000000"/>
          <w:sz w:val="36"/>
          <w:szCs w:val="36"/>
          <w:highlight w:val="none"/>
        </w:rPr>
        <w:t>第六章  响应文件格式</w:t>
      </w:r>
      <w:bookmarkEnd w:id="135"/>
      <w:bookmarkEnd w:id="136"/>
      <w:bookmarkEnd w:id="137"/>
    </w:p>
    <w:p>
      <w:pPr>
        <w:jc w:val="center"/>
        <w:rPr>
          <w:rFonts w:ascii="仿宋" w:hAnsi="仿宋" w:eastAsia="仿宋" w:cs="仿宋"/>
          <w:sz w:val="30"/>
          <w:szCs w:val="30"/>
          <w:highlight w:val="none"/>
        </w:rPr>
      </w:pPr>
    </w:p>
    <w:p>
      <w:pPr>
        <w:jc w:val="center"/>
        <w:rPr>
          <w:rFonts w:ascii="仿宋" w:hAnsi="仿宋" w:eastAsia="仿宋" w:cs="仿宋"/>
          <w:sz w:val="30"/>
          <w:szCs w:val="30"/>
          <w:highlight w:val="none"/>
        </w:rPr>
      </w:pPr>
    </w:p>
    <w:p>
      <w:pPr>
        <w:jc w:val="center"/>
        <w:rPr>
          <w:rFonts w:ascii="仿宋" w:hAnsi="仿宋" w:eastAsia="仿宋" w:cs="仿宋"/>
          <w:sz w:val="30"/>
          <w:szCs w:val="30"/>
          <w:highlight w:val="none"/>
        </w:rPr>
      </w:pPr>
    </w:p>
    <w:p>
      <w:pPr>
        <w:jc w:val="center"/>
        <w:outlineLvl w:val="1"/>
        <w:rPr>
          <w:rFonts w:eastAsia="方正小标宋_GBK"/>
          <w:b/>
          <w:bCs/>
          <w:sz w:val="40"/>
          <w:szCs w:val="36"/>
          <w:highlight w:val="none"/>
        </w:rPr>
      </w:pPr>
      <w:r>
        <w:rPr>
          <w:rFonts w:hint="eastAsia" w:eastAsia="方正小标宋_GBK"/>
          <w:bCs/>
          <w:sz w:val="48"/>
          <w:szCs w:val="44"/>
          <w:highlight w:val="none"/>
          <w:u w:val="single"/>
        </w:rPr>
        <w:t xml:space="preserve">       </w:t>
      </w:r>
      <w:r>
        <w:rPr>
          <w:rFonts w:eastAsia="方正小标宋_GBK"/>
          <w:bCs/>
          <w:sz w:val="48"/>
          <w:szCs w:val="44"/>
          <w:highlight w:val="none"/>
          <w:u w:val="single"/>
        </w:rPr>
        <w:t xml:space="preserve">            </w:t>
      </w:r>
      <w:bookmarkStart w:id="138" w:name="_Toc10245"/>
      <w:r>
        <w:rPr>
          <w:rFonts w:hint="eastAsia" w:eastAsia="方正小标宋_GBK"/>
          <w:b/>
          <w:bCs/>
          <w:sz w:val="40"/>
          <w:szCs w:val="36"/>
          <w:highlight w:val="none"/>
        </w:rPr>
        <w:t>项目</w:t>
      </w:r>
      <w:bookmarkEnd w:id="138"/>
    </w:p>
    <w:p>
      <w:pPr>
        <w:widowControl w:val="0"/>
        <w:spacing w:before="240" w:beforeLines="100" w:after="240" w:afterLines="100" w:line="240" w:lineRule="auto"/>
        <w:jc w:val="center"/>
        <w:rPr>
          <w:rFonts w:eastAsia="楷体_GB2312"/>
          <w:b/>
          <w:bCs/>
          <w:sz w:val="28"/>
          <w:szCs w:val="28"/>
          <w:highlight w:val="none"/>
        </w:rPr>
      </w:pPr>
      <w:r>
        <w:rPr>
          <w:rFonts w:eastAsia="楷体_GB2312"/>
          <w:b/>
          <w:bCs/>
          <w:sz w:val="28"/>
          <w:szCs w:val="28"/>
          <w:highlight w:val="none"/>
        </w:rPr>
        <w:t>（项目</w:t>
      </w:r>
      <w:r>
        <w:rPr>
          <w:rFonts w:hint="eastAsia" w:eastAsia="楷体_GB2312"/>
          <w:b/>
          <w:bCs/>
          <w:sz w:val="28"/>
          <w:szCs w:val="28"/>
          <w:highlight w:val="none"/>
        </w:rPr>
        <w:t>采购</w:t>
      </w:r>
      <w:r>
        <w:rPr>
          <w:rFonts w:eastAsia="楷体_GB2312"/>
          <w:b/>
          <w:bCs/>
          <w:sz w:val="28"/>
          <w:szCs w:val="28"/>
          <w:highlight w:val="none"/>
        </w:rPr>
        <w:t>编号：</w:t>
      </w:r>
      <w:r>
        <w:rPr>
          <w:rFonts w:eastAsia="楷体_GB2312"/>
          <w:b/>
          <w:bCs/>
          <w:sz w:val="28"/>
          <w:szCs w:val="28"/>
          <w:highlight w:val="none"/>
          <w:u w:val="single"/>
        </w:rPr>
        <w:t xml:space="preserve">   </w:t>
      </w:r>
      <w:r>
        <w:rPr>
          <w:rFonts w:hint="eastAsia" w:eastAsia="楷体_GB2312"/>
          <w:b/>
          <w:bCs/>
          <w:sz w:val="28"/>
          <w:szCs w:val="28"/>
          <w:highlight w:val="none"/>
          <w:u w:val="single"/>
        </w:rPr>
        <w:t>填入项目采购编号</w:t>
      </w:r>
      <w:r>
        <w:rPr>
          <w:rFonts w:eastAsia="楷体_GB2312"/>
          <w:b/>
          <w:bCs/>
          <w:sz w:val="28"/>
          <w:szCs w:val="28"/>
          <w:highlight w:val="none"/>
          <w:u w:val="single"/>
        </w:rPr>
        <w:t xml:space="preserve">     </w:t>
      </w:r>
      <w:r>
        <w:rPr>
          <w:rFonts w:eastAsia="楷体_GB2312"/>
          <w:b/>
          <w:bCs/>
          <w:sz w:val="28"/>
          <w:szCs w:val="28"/>
          <w:highlight w:val="none"/>
        </w:rPr>
        <w:t>）</w:t>
      </w:r>
    </w:p>
    <w:p>
      <w:pPr>
        <w:widowControl w:val="0"/>
        <w:adjustRightInd w:val="0"/>
        <w:snapToGrid w:val="0"/>
        <w:rPr>
          <w:b/>
          <w:highlight w:val="none"/>
        </w:rPr>
      </w:pPr>
    </w:p>
    <w:p>
      <w:pPr>
        <w:spacing w:line="288" w:lineRule="auto"/>
        <w:jc w:val="center"/>
        <w:rPr>
          <w:rFonts w:eastAsia="方正小标宋_GBK"/>
          <w:b/>
          <w:bCs/>
          <w:spacing w:val="160"/>
          <w:sz w:val="72"/>
          <w:szCs w:val="72"/>
          <w:highlight w:val="none"/>
        </w:rPr>
      </w:pPr>
    </w:p>
    <w:p>
      <w:pPr>
        <w:spacing w:line="288" w:lineRule="auto"/>
        <w:jc w:val="center"/>
        <w:rPr>
          <w:rFonts w:eastAsia="方正小标宋_GBK"/>
          <w:b/>
          <w:bCs/>
          <w:spacing w:val="160"/>
          <w:sz w:val="72"/>
          <w:szCs w:val="72"/>
          <w:highlight w:val="none"/>
        </w:rPr>
      </w:pPr>
    </w:p>
    <w:p>
      <w:pPr>
        <w:spacing w:line="288" w:lineRule="auto"/>
        <w:jc w:val="center"/>
        <w:rPr>
          <w:rFonts w:eastAsia="方正小标宋_GBK"/>
          <w:b/>
          <w:bCs/>
          <w:spacing w:val="160"/>
          <w:sz w:val="72"/>
          <w:szCs w:val="72"/>
          <w:highlight w:val="none"/>
        </w:rPr>
      </w:pPr>
      <w:r>
        <w:rPr>
          <w:rFonts w:hint="eastAsia" w:eastAsia="方正小标宋_GBK"/>
          <w:b/>
          <w:bCs/>
          <w:spacing w:val="160"/>
          <w:sz w:val="72"/>
          <w:szCs w:val="72"/>
          <w:highlight w:val="none"/>
        </w:rPr>
        <w:t>响应</w:t>
      </w:r>
      <w:r>
        <w:rPr>
          <w:rFonts w:eastAsia="方正小标宋_GBK"/>
          <w:b/>
          <w:bCs/>
          <w:spacing w:val="160"/>
          <w:sz w:val="72"/>
          <w:szCs w:val="72"/>
          <w:highlight w:val="none"/>
        </w:rPr>
        <w:t>文件</w:t>
      </w: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900" w:lineRule="exact"/>
        <w:jc w:val="center"/>
        <w:rPr>
          <w:rFonts w:eastAsia="黑体"/>
          <w:bCs/>
          <w:sz w:val="30"/>
          <w:szCs w:val="30"/>
          <w:highlight w:val="none"/>
        </w:rPr>
      </w:pPr>
      <w:r>
        <w:rPr>
          <w:rFonts w:hint="eastAsia" w:eastAsia="黑体"/>
          <w:bCs/>
          <w:sz w:val="30"/>
          <w:szCs w:val="30"/>
          <w:highlight w:val="none"/>
        </w:rPr>
        <w:t>供 应 商</w:t>
      </w:r>
      <w:r>
        <w:rPr>
          <w:rFonts w:eastAsia="黑体"/>
          <w:bCs/>
          <w:sz w:val="30"/>
          <w:szCs w:val="30"/>
          <w:highlight w:val="none"/>
        </w:rPr>
        <w:t>：</w:t>
      </w:r>
      <w:r>
        <w:rPr>
          <w:rFonts w:eastAsia="黑体"/>
          <w:bCs/>
          <w:sz w:val="30"/>
          <w:szCs w:val="30"/>
          <w:highlight w:val="none"/>
          <w:u w:val="single"/>
        </w:rPr>
        <w:t xml:space="preserve">  </w:t>
      </w:r>
      <w:r>
        <w:rPr>
          <w:rFonts w:hint="eastAsia" w:eastAsia="黑体"/>
          <w:bCs/>
          <w:sz w:val="30"/>
          <w:szCs w:val="30"/>
          <w:highlight w:val="none"/>
          <w:u w:val="single"/>
        </w:rPr>
        <w:t>供应商</w:t>
      </w:r>
      <w:r>
        <w:rPr>
          <w:rFonts w:eastAsia="黑体"/>
          <w:bCs/>
          <w:sz w:val="30"/>
          <w:szCs w:val="30"/>
          <w:highlight w:val="none"/>
          <w:u w:val="single"/>
        </w:rPr>
        <w:t xml:space="preserve">全称并盖单位公章 </w:t>
      </w:r>
    </w:p>
    <w:p>
      <w:pPr>
        <w:spacing w:line="900" w:lineRule="exact"/>
        <w:jc w:val="center"/>
        <w:rPr>
          <w:rFonts w:eastAsia="黑体"/>
          <w:sz w:val="30"/>
          <w:szCs w:val="30"/>
          <w:highlight w:val="none"/>
        </w:rPr>
      </w:pPr>
      <w:r>
        <w:rPr>
          <w:rFonts w:eastAsia="黑体"/>
          <w:sz w:val="30"/>
          <w:szCs w:val="30"/>
          <w:highlight w:val="none"/>
        </w:rPr>
        <w:t>日</w:t>
      </w:r>
      <w:r>
        <w:rPr>
          <w:rFonts w:hint="eastAsia" w:eastAsia="黑体"/>
          <w:sz w:val="30"/>
          <w:szCs w:val="30"/>
          <w:highlight w:val="none"/>
        </w:rPr>
        <w:t xml:space="preserve">   </w:t>
      </w:r>
      <w:r>
        <w:rPr>
          <w:rFonts w:eastAsia="黑体"/>
          <w:sz w:val="30"/>
          <w:szCs w:val="30"/>
          <w:highlight w:val="none"/>
        </w:rPr>
        <w:t>期：</w:t>
      </w:r>
      <w:r>
        <w:rPr>
          <w:rFonts w:eastAsia="黑体"/>
          <w:sz w:val="30"/>
          <w:szCs w:val="30"/>
          <w:highlight w:val="none"/>
          <w:u w:val="single"/>
        </w:rPr>
        <w:t xml:space="preserve">      </w:t>
      </w:r>
      <w:r>
        <w:rPr>
          <w:rFonts w:eastAsia="黑体"/>
          <w:sz w:val="30"/>
          <w:szCs w:val="30"/>
          <w:highlight w:val="none"/>
        </w:rPr>
        <w:t>年</w:t>
      </w:r>
      <w:r>
        <w:rPr>
          <w:rFonts w:eastAsia="黑体"/>
          <w:sz w:val="30"/>
          <w:szCs w:val="30"/>
          <w:highlight w:val="none"/>
          <w:u w:val="single"/>
        </w:rPr>
        <w:t xml:space="preserve">    </w:t>
      </w:r>
      <w:r>
        <w:rPr>
          <w:rFonts w:eastAsia="黑体"/>
          <w:sz w:val="30"/>
          <w:szCs w:val="30"/>
          <w:highlight w:val="none"/>
        </w:rPr>
        <w:t>月</w:t>
      </w:r>
      <w:r>
        <w:rPr>
          <w:rFonts w:eastAsia="黑体"/>
          <w:sz w:val="30"/>
          <w:szCs w:val="30"/>
          <w:highlight w:val="none"/>
          <w:u w:val="single"/>
        </w:rPr>
        <w:t xml:space="preserve">    </w:t>
      </w:r>
      <w:r>
        <w:rPr>
          <w:rFonts w:eastAsia="黑体"/>
          <w:sz w:val="30"/>
          <w:szCs w:val="30"/>
          <w:highlight w:val="none"/>
        </w:rPr>
        <w:t>日</w:t>
      </w:r>
    </w:p>
    <w:p>
      <w:pPr>
        <w:pStyle w:val="17"/>
        <w:ind w:firstLine="0"/>
        <w:rPr>
          <w:rFonts w:hint="eastAsia" w:ascii="黑体" w:hAnsi="黑体" w:eastAsia="黑体" w:cs="仿宋"/>
          <w:sz w:val="36"/>
          <w:szCs w:val="36"/>
          <w:highlight w:val="none"/>
        </w:rPr>
      </w:pPr>
    </w:p>
    <w:p>
      <w:pPr>
        <w:adjustRightInd w:val="0"/>
        <w:snapToGrid w:val="0"/>
        <w:spacing w:line="600" w:lineRule="exact"/>
        <w:jc w:val="center"/>
        <w:rPr>
          <w:rFonts w:ascii="黑体" w:hAnsi="黑体" w:eastAsia="黑体" w:cs="仿宋"/>
          <w:sz w:val="36"/>
          <w:szCs w:val="36"/>
          <w:highlight w:val="none"/>
        </w:rPr>
      </w:pPr>
      <w:r>
        <w:rPr>
          <w:rFonts w:hint="eastAsia" w:ascii="黑体" w:hAnsi="黑体" w:eastAsia="黑体" w:cs="仿宋"/>
          <w:sz w:val="36"/>
          <w:szCs w:val="36"/>
          <w:highlight w:val="none"/>
        </w:rPr>
        <w:t xml:space="preserve">目 </w:t>
      </w:r>
      <w:r>
        <w:rPr>
          <w:rFonts w:ascii="黑体" w:hAnsi="黑体" w:eastAsia="黑体" w:cs="仿宋"/>
          <w:sz w:val="36"/>
          <w:szCs w:val="36"/>
          <w:highlight w:val="none"/>
        </w:rPr>
        <w:t xml:space="preserve"> </w:t>
      </w:r>
      <w:r>
        <w:rPr>
          <w:rFonts w:hint="eastAsia" w:ascii="黑体" w:hAnsi="黑体" w:eastAsia="黑体" w:cs="仿宋"/>
          <w:sz w:val="36"/>
          <w:szCs w:val="36"/>
          <w:highlight w:val="none"/>
        </w:rPr>
        <w:t>录</w:t>
      </w:r>
    </w:p>
    <w:p>
      <w:pPr>
        <w:adjustRightInd w:val="0"/>
        <w:snapToGrid w:val="0"/>
        <w:spacing w:line="600" w:lineRule="exact"/>
        <w:jc w:val="both"/>
        <w:rPr>
          <w:rFonts w:ascii="宋体" w:hAnsi="宋体" w:cs="仿宋"/>
          <w:sz w:val="36"/>
          <w:szCs w:val="36"/>
          <w:highlight w:val="none"/>
        </w:rPr>
      </w:pPr>
    </w:p>
    <w:p>
      <w:pPr>
        <w:adjustRightInd w:val="0"/>
        <w:snapToGrid w:val="0"/>
        <w:spacing w:line="600" w:lineRule="exact"/>
        <w:jc w:val="both"/>
        <w:rPr>
          <w:highlight w:val="none"/>
        </w:rPr>
      </w:pPr>
      <w:r>
        <w:rPr>
          <w:rFonts w:hint="eastAsia" w:ascii="宋体" w:hAnsi="宋体" w:cs="仿宋"/>
          <w:sz w:val="24"/>
          <w:highlight w:val="none"/>
        </w:rPr>
        <w:t>一、响应函</w:t>
      </w:r>
    </w:p>
    <w:p>
      <w:pPr>
        <w:adjustRightInd w:val="0"/>
        <w:snapToGrid w:val="0"/>
        <w:spacing w:line="600" w:lineRule="exact"/>
        <w:jc w:val="both"/>
        <w:rPr>
          <w:highlight w:val="none"/>
        </w:rPr>
      </w:pPr>
      <w:r>
        <w:rPr>
          <w:rFonts w:hint="eastAsia" w:ascii="宋体" w:hAnsi="宋体" w:cs="仿宋"/>
          <w:sz w:val="24"/>
          <w:highlight w:val="none"/>
        </w:rPr>
        <w:t>二、授权委托书(适用于有委托代理人的情况)</w:t>
      </w:r>
    </w:p>
    <w:p>
      <w:pPr>
        <w:spacing w:line="600" w:lineRule="exact"/>
        <w:jc w:val="both"/>
        <w:rPr>
          <w:rFonts w:ascii="宋体" w:hAnsi="宋体" w:cs="仿宋"/>
          <w:sz w:val="24"/>
          <w:highlight w:val="none"/>
        </w:rPr>
      </w:pPr>
      <w:r>
        <w:rPr>
          <w:rFonts w:hint="eastAsia" w:ascii="宋体" w:hAnsi="宋体" w:cs="仿宋"/>
          <w:sz w:val="24"/>
          <w:highlight w:val="none"/>
        </w:rPr>
        <w:t>三</w:t>
      </w:r>
      <w:r>
        <w:rPr>
          <w:rFonts w:hint="eastAsia" w:ascii="宋体" w:hAnsi="宋体" w:cs="仿宋"/>
          <w:sz w:val="24"/>
          <w:highlight w:val="none"/>
          <w:lang w:eastAsia="zh-CN"/>
        </w:rPr>
        <w:t>、</w:t>
      </w:r>
      <w:r>
        <w:rPr>
          <w:rFonts w:hint="eastAsia" w:ascii="宋体" w:hAnsi="宋体" w:cs="仿宋"/>
          <w:sz w:val="24"/>
          <w:highlight w:val="none"/>
        </w:rPr>
        <w:t>商务与技术偏差表</w:t>
      </w:r>
    </w:p>
    <w:p>
      <w:pPr>
        <w:adjustRightInd w:val="0"/>
        <w:snapToGrid w:val="0"/>
        <w:spacing w:line="600" w:lineRule="exact"/>
        <w:jc w:val="both"/>
        <w:rPr>
          <w:rFonts w:ascii="宋体" w:hAnsi="宋体" w:cs="仿宋"/>
          <w:sz w:val="24"/>
          <w:highlight w:val="none"/>
        </w:rPr>
      </w:pPr>
      <w:r>
        <w:rPr>
          <w:rFonts w:hint="eastAsia" w:ascii="宋体" w:hAnsi="宋体" w:cs="仿宋"/>
          <w:sz w:val="24"/>
          <w:highlight w:val="none"/>
        </w:rPr>
        <w:t>四、报价表</w:t>
      </w:r>
    </w:p>
    <w:p>
      <w:pPr>
        <w:adjustRightInd w:val="0"/>
        <w:snapToGrid w:val="0"/>
        <w:spacing w:line="600" w:lineRule="exact"/>
        <w:jc w:val="both"/>
        <w:rPr>
          <w:highlight w:val="none"/>
        </w:rPr>
      </w:pPr>
      <w:r>
        <w:rPr>
          <w:rFonts w:hint="eastAsia" w:ascii="宋体" w:hAnsi="宋体" w:cs="仿宋"/>
          <w:sz w:val="24"/>
          <w:highlight w:val="none"/>
        </w:rPr>
        <w:t>五、资格审查资料</w:t>
      </w:r>
    </w:p>
    <w:p>
      <w:pPr>
        <w:adjustRightInd w:val="0"/>
        <w:snapToGrid w:val="0"/>
        <w:spacing w:line="600" w:lineRule="exact"/>
        <w:jc w:val="both"/>
        <w:rPr>
          <w:highlight w:val="none"/>
        </w:rPr>
      </w:pPr>
      <w:r>
        <w:rPr>
          <w:rFonts w:hint="eastAsia" w:ascii="宋体" w:hAnsi="宋体" w:cs="仿宋"/>
          <w:sz w:val="24"/>
          <w:highlight w:val="none"/>
        </w:rPr>
        <w:t>六、响应方案</w:t>
      </w:r>
    </w:p>
    <w:p>
      <w:pPr>
        <w:adjustRightInd w:val="0"/>
        <w:snapToGrid w:val="0"/>
        <w:spacing w:line="600" w:lineRule="exact"/>
        <w:jc w:val="both"/>
        <w:rPr>
          <w:rFonts w:ascii="宋体" w:hAnsi="宋体" w:cs="仿宋"/>
          <w:sz w:val="24"/>
          <w:highlight w:val="none"/>
        </w:rPr>
      </w:pPr>
      <w:r>
        <w:rPr>
          <w:rFonts w:hint="eastAsia" w:ascii="宋体" w:hAnsi="宋体" w:cs="仿宋"/>
          <w:sz w:val="24"/>
          <w:highlight w:val="none"/>
        </w:rPr>
        <w:t>七、其他资料</w:t>
      </w:r>
    </w:p>
    <w:p>
      <w:pPr>
        <w:spacing w:line="600" w:lineRule="exact"/>
        <w:jc w:val="both"/>
        <w:rPr>
          <w:rFonts w:ascii="仿宋" w:hAnsi="仿宋" w:eastAsia="仿宋" w:cs="仿宋"/>
          <w:sz w:val="30"/>
          <w:szCs w:val="30"/>
          <w:highlight w:val="none"/>
        </w:rPr>
      </w:pPr>
      <w:r>
        <w:rPr>
          <w:rFonts w:hint="eastAsia" w:ascii="仿宋" w:hAnsi="仿宋" w:eastAsia="仿宋" w:cs="仿宋"/>
          <w:sz w:val="30"/>
          <w:szCs w:val="30"/>
          <w:highlight w:val="none"/>
        </w:rPr>
        <w:br w:type="page"/>
      </w:r>
    </w:p>
    <w:p>
      <w:pPr>
        <w:numPr>
          <w:ilvl w:val="0"/>
          <w:numId w:val="4"/>
        </w:numPr>
        <w:adjustRightInd w:val="0"/>
        <w:snapToGrid w:val="0"/>
        <w:spacing w:line="600" w:lineRule="exact"/>
        <w:jc w:val="center"/>
        <w:rPr>
          <w:rFonts w:ascii="黑体" w:hAnsi="黑体" w:eastAsia="黑体" w:cs="仿宋"/>
          <w:sz w:val="36"/>
          <w:szCs w:val="36"/>
          <w:highlight w:val="none"/>
        </w:rPr>
      </w:pPr>
      <w:r>
        <w:rPr>
          <w:rFonts w:hint="eastAsia" w:ascii="黑体" w:hAnsi="黑体" w:eastAsia="黑体" w:cs="仿宋"/>
          <w:sz w:val="36"/>
          <w:szCs w:val="36"/>
          <w:highlight w:val="none"/>
        </w:rPr>
        <w:t>响应函</w:t>
      </w:r>
    </w:p>
    <w:p>
      <w:pPr>
        <w:adjustRightInd w:val="0"/>
        <w:snapToGrid w:val="0"/>
        <w:spacing w:line="600" w:lineRule="exact"/>
        <w:jc w:val="both"/>
        <w:rPr>
          <w:rFonts w:cs="仿宋" w:asciiTheme="minorEastAsia" w:hAnsiTheme="minorEastAsia" w:eastAsiaTheme="minorEastAsia"/>
          <w:sz w:val="24"/>
          <w:highlight w:val="none"/>
        </w:rPr>
      </w:pP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(采购人名称):</w:t>
      </w:r>
    </w:p>
    <w:p>
      <w:pPr>
        <w:autoSpaceDE w:val="0"/>
        <w:spacing w:line="400" w:lineRule="exact"/>
        <w:jc w:val="both"/>
        <w:rPr>
          <w:rFonts w:ascii="宋体" w:hAnsi="宋体"/>
          <w:sz w:val="24"/>
          <w:highlight w:val="none"/>
          <w:u w:val="none"/>
        </w:rPr>
      </w:pPr>
      <w:r>
        <w:rPr>
          <w:rFonts w:hint="eastAsia" w:cs="仿宋" w:asciiTheme="minorEastAsia" w:hAnsiTheme="minorEastAsia" w:eastAsiaTheme="minorEastAsia"/>
          <w:sz w:val="24"/>
          <w:highlight w:val="none"/>
        </w:rPr>
        <w:t>1.我方已仔细研究了</w:t>
      </w:r>
      <w:r>
        <w:rPr>
          <w:rFonts w:cs="仿宋" w:asciiTheme="minorEastAsia" w:hAnsiTheme="minorEastAsia" w:eastAsiaTheme="minorEastAsia"/>
          <w:sz w:val="24"/>
          <w:highlight w:val="none"/>
          <w:u w:val="single"/>
        </w:rPr>
        <w:t xml:space="preserve">__                     </w:t>
      </w:r>
      <w:r>
        <w:rPr>
          <w:rFonts w:hint="eastAsia" w:cs="仿宋" w:asciiTheme="minorEastAsia" w:hAnsiTheme="minorEastAsia" w:eastAsiaTheme="minorEastAsia"/>
          <w:sz w:val="24"/>
          <w:highlight w:val="none"/>
        </w:rPr>
        <w:t>(项目名称)采购文件的全部内容，愿意以含税价人民币(大写)(￥</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)的报价（其中：增值税税</w:t>
      </w:r>
      <w:r>
        <w:rPr>
          <w:rFonts w:hint="eastAsia" w:cs="仿宋" w:asciiTheme="minorEastAsia" w:hAnsiTheme="minorEastAsia" w:eastAsiaTheme="minorEastAsia"/>
          <w:sz w:val="24"/>
          <w:highlight w:val="none"/>
          <w:lang w:val="en-US" w:eastAsia="zh-CN"/>
        </w:rPr>
        <w:t>率</w:t>
      </w:r>
      <w:r>
        <w:rPr>
          <w:rFonts w:hint="eastAsia" w:cs="仿宋" w:asciiTheme="minorEastAsia" w:hAnsiTheme="minorEastAsia" w:eastAsiaTheme="minorEastAsia"/>
          <w:sz w:val="24"/>
          <w:highlight w:val="none"/>
        </w:rPr>
        <w:t>为:</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)完成本项目服务，并按合同约定履行义务。</w:t>
      </w:r>
      <w:r>
        <w:rPr>
          <w:rFonts w:hint="eastAsia" w:cs="仿宋" w:asciiTheme="minorEastAsia" w:hAnsiTheme="minorEastAsia" w:eastAsiaTheme="minorEastAsia"/>
          <w:sz w:val="24"/>
          <w:highlight w:val="none"/>
          <w:lang w:val="en-US" w:eastAsia="zh-CN"/>
        </w:rPr>
        <w:t>施工期限为：合同签订，</w:t>
      </w:r>
      <w:r>
        <w:rPr>
          <w:rFonts w:hint="eastAsia" w:ascii="宋体" w:hAnsi="宋体"/>
          <w:sz w:val="24"/>
          <w:highlight w:val="none"/>
          <w:u w:val="none"/>
          <w:lang w:val="en-US" w:eastAsia="zh-CN"/>
        </w:rPr>
        <w:t>进场开工后       个日历日</w:t>
      </w:r>
      <w:r>
        <w:rPr>
          <w:rFonts w:hint="eastAsia" w:ascii="宋体" w:hAnsi="宋体"/>
          <w:sz w:val="24"/>
          <w:highlight w:val="none"/>
          <w:u w:val="none"/>
        </w:rPr>
        <w:t xml:space="preserve">  </w:t>
      </w:r>
    </w:p>
    <w:p>
      <w:pPr>
        <w:adjustRightInd w:val="0"/>
        <w:snapToGrid w:val="0"/>
        <w:spacing w:line="600" w:lineRule="exact"/>
        <w:jc w:val="both"/>
        <w:outlineLvl w:val="1"/>
        <w:rPr>
          <w:rFonts w:cs="仿宋" w:asciiTheme="minorEastAsia" w:hAnsiTheme="minorEastAsia" w:eastAsiaTheme="minorEastAsia"/>
          <w:sz w:val="24"/>
          <w:highlight w:val="none"/>
        </w:rPr>
      </w:pPr>
      <w:bookmarkStart w:id="139" w:name="_Toc26727"/>
      <w:r>
        <w:rPr>
          <w:rFonts w:hint="eastAsia" w:cs="仿宋" w:asciiTheme="minorEastAsia" w:hAnsiTheme="minorEastAsia" w:eastAsiaTheme="minorEastAsia"/>
          <w:sz w:val="24"/>
          <w:highlight w:val="none"/>
        </w:rPr>
        <w:t>2.我方的响应文件包括下列内容:</w:t>
      </w:r>
      <w:bookmarkEnd w:id="139"/>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(1)响应函;</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(2)授权委托书(如有);</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3</w:t>
      </w:r>
      <w:r>
        <w:rPr>
          <w:rFonts w:hint="eastAsia" w:cs="仿宋" w:asciiTheme="minorEastAsia" w:hAnsiTheme="minorEastAsia" w:eastAsiaTheme="minorEastAsia"/>
          <w:sz w:val="24"/>
          <w:highlight w:val="none"/>
        </w:rPr>
        <w:t>)商务和技术偏差表;</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4</w:t>
      </w:r>
      <w:r>
        <w:rPr>
          <w:rFonts w:hint="eastAsia" w:cs="仿宋" w:asciiTheme="minorEastAsia" w:hAnsiTheme="minorEastAsia" w:eastAsiaTheme="minorEastAsia"/>
          <w:sz w:val="24"/>
          <w:highlight w:val="none"/>
        </w:rPr>
        <w:t>)报价表;</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5</w:t>
      </w:r>
      <w:r>
        <w:rPr>
          <w:rFonts w:hint="eastAsia" w:cs="仿宋" w:asciiTheme="minorEastAsia" w:hAnsiTheme="minorEastAsia" w:eastAsiaTheme="minorEastAsia"/>
          <w:sz w:val="24"/>
          <w:highlight w:val="none"/>
        </w:rPr>
        <w:t>)资格审查资料;</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6</w:t>
      </w:r>
      <w:r>
        <w:rPr>
          <w:rFonts w:hint="eastAsia" w:cs="仿宋" w:asciiTheme="minorEastAsia" w:hAnsiTheme="minorEastAsia" w:eastAsiaTheme="minorEastAsia"/>
          <w:sz w:val="24"/>
          <w:highlight w:val="none"/>
        </w:rPr>
        <w:t>)响应方案;</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响应文件的上述组成部分如存在内容不-致的，以响应函为准。</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3.我方承诺除商务和技术偏差表列出的偏差外，我方响应采购文件的全部要求。</w:t>
      </w:r>
    </w:p>
    <w:p>
      <w:pPr>
        <w:numPr>
          <w:ilvl w:val="0"/>
          <w:numId w:val="5"/>
        </w:num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我方承诺在采购文件规定的响应文件有效期</w:t>
      </w:r>
      <w:r>
        <w:rPr>
          <w:rFonts w:hint="eastAsia" w:cs="仿宋" w:asciiTheme="minorEastAsia" w:hAnsiTheme="minorEastAsia" w:eastAsiaTheme="minorEastAsia"/>
          <w:sz w:val="24"/>
          <w:highlight w:val="none"/>
          <w:lang w:val="en-US" w:eastAsia="zh-CN"/>
        </w:rPr>
        <w:t>90天</w:t>
      </w:r>
      <w:r>
        <w:rPr>
          <w:rFonts w:hint="eastAsia" w:cs="仿宋" w:asciiTheme="minorEastAsia" w:hAnsiTheme="minorEastAsia" w:eastAsiaTheme="minorEastAsia"/>
          <w:sz w:val="24"/>
          <w:highlight w:val="none"/>
        </w:rPr>
        <w:t>内不撤销响应文件。</w:t>
      </w:r>
    </w:p>
    <w:p>
      <w:pPr>
        <w:numPr>
          <w:ilvl w:val="0"/>
          <w:numId w:val="5"/>
        </w:num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如我方成交，我方承诺:</w:t>
      </w:r>
    </w:p>
    <w:p>
      <w:pPr>
        <w:tabs>
          <w:tab w:val="left" w:pos="312"/>
        </w:tabs>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(2)在签订合同时不向你方提出附加条件;</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(3)按照采购文件要求递交履约保证金;</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(4)在合同约定的期限内完成合同规定的全部义务。</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6.我方在此声明，所递交的响应文件及有关资料内容完整、真实和准确，且不开在第一章“采购公告”中规定的供应商不得存在的情形。</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7.(其他补充说明)。</w:t>
      </w:r>
    </w:p>
    <w:p>
      <w:pPr>
        <w:adjustRightInd w:val="0"/>
        <w:snapToGrid w:val="0"/>
        <w:spacing w:line="600" w:lineRule="exact"/>
        <w:jc w:val="both"/>
        <w:rPr>
          <w:rFonts w:cs="仿宋" w:asciiTheme="minorEastAsia" w:hAnsiTheme="minorEastAsia" w:eastAsiaTheme="minorEastAsia"/>
          <w:sz w:val="24"/>
          <w:highlight w:val="none"/>
        </w:rPr>
      </w:pP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供应商:________________________(盖单位章)</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法定代表人(单位负责人)或其授权的代理人:(签字) </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地址:____________________________________________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电子邮箱：_______________________________________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电话：____________________________________________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传真：____________________________________________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邮政编码：_______________________________________</w:t>
      </w:r>
    </w:p>
    <w:p>
      <w:pPr>
        <w:spacing w:line="600" w:lineRule="exact"/>
        <w:jc w:val="both"/>
        <w:rPr>
          <w:rFonts w:cs="仿宋" w:asciiTheme="minorEastAsia" w:hAnsiTheme="minorEastAsia" w:eastAsiaTheme="minorEastAsia"/>
          <w:sz w:val="24"/>
          <w:highlight w:val="none"/>
        </w:rPr>
      </w:pPr>
    </w:p>
    <w:p>
      <w:pPr>
        <w:spacing w:line="600" w:lineRule="exact"/>
        <w:jc w:val="righ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年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 xml:space="preserve">月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日</w:t>
      </w:r>
    </w:p>
    <w:p>
      <w:pPr>
        <w:spacing w:line="240" w:lineRule="auto"/>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br w:type="page"/>
      </w:r>
    </w:p>
    <w:p>
      <w:pPr>
        <w:spacing w:line="400" w:lineRule="exact"/>
        <w:jc w:val="center"/>
        <w:rPr>
          <w:rFonts w:asciiTheme="minorEastAsia" w:hAnsiTheme="minorEastAsia" w:eastAsiaTheme="minorEastAsia"/>
          <w:color w:val="000000"/>
          <w:sz w:val="24"/>
          <w:highlight w:val="none"/>
        </w:rPr>
      </w:pPr>
      <w:r>
        <w:rPr>
          <w:rFonts w:hint="eastAsia" w:cs="宋体" w:asciiTheme="minorEastAsia" w:hAnsiTheme="minorEastAsia" w:eastAsiaTheme="minorEastAsia"/>
          <w:b/>
          <w:color w:val="000000"/>
          <w:kern w:val="0"/>
          <w:sz w:val="36"/>
          <w:szCs w:val="36"/>
          <w:highlight w:val="none"/>
        </w:rPr>
        <w:t>附：守法诚信承诺书</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××公司：</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1、我司已仔细阅读《××单位××文件》</w:t>
      </w:r>
      <w:r>
        <w:rPr>
          <w:rFonts w:cs="仿宋" w:asciiTheme="minorEastAsia" w:hAnsiTheme="minorEastAsia" w:eastAsiaTheme="minorEastAsia"/>
          <w:sz w:val="24"/>
          <w:highlight w:val="none"/>
        </w:rPr>
        <w:t>（编号</w:t>
      </w: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（以下</w:t>
      </w:r>
      <w:r>
        <w:rPr>
          <w:rFonts w:cs="仿宋" w:asciiTheme="minorEastAsia" w:hAnsiTheme="minorEastAsia" w:eastAsiaTheme="minorEastAsia"/>
          <w:sz w:val="24"/>
          <w:highlight w:val="none"/>
        </w:rPr>
        <w:t>简称</w:t>
      </w:r>
      <w:r>
        <w:rPr>
          <w:rFonts w:hint="eastAsia" w:cs="仿宋" w:asciiTheme="minorEastAsia" w:hAnsiTheme="minorEastAsia" w:eastAsiaTheme="minorEastAsia"/>
          <w:sz w:val="24"/>
          <w:highlight w:val="none"/>
        </w:rPr>
        <w:t>采购</w:t>
      </w:r>
      <w:r>
        <w:rPr>
          <w:rFonts w:cs="仿宋" w:asciiTheme="minorEastAsia" w:hAnsiTheme="minorEastAsia" w:eastAsiaTheme="minorEastAsia"/>
          <w:sz w:val="24"/>
          <w:highlight w:val="none"/>
        </w:rPr>
        <w:t>文件）</w:t>
      </w:r>
      <w:r>
        <w:rPr>
          <w:rFonts w:hint="eastAsia" w:cs="仿宋" w:asciiTheme="minorEastAsia" w:hAnsiTheme="minorEastAsia" w:eastAsiaTheme="minorEastAsia"/>
          <w:sz w:val="24"/>
          <w:highlight w:val="none"/>
        </w:rPr>
        <w:t>，包括采</w:t>
      </w:r>
      <w:r>
        <w:rPr>
          <w:rFonts w:cs="仿宋" w:asciiTheme="minorEastAsia" w:hAnsiTheme="minorEastAsia" w:eastAsiaTheme="minorEastAsia"/>
          <w:sz w:val="24"/>
          <w:highlight w:val="none"/>
        </w:rPr>
        <w:t>购</w:t>
      </w:r>
      <w:r>
        <w:rPr>
          <w:rFonts w:hint="eastAsia" w:cs="仿宋" w:asciiTheme="minorEastAsia" w:hAnsiTheme="minorEastAsia" w:eastAsiaTheme="minorEastAsia"/>
          <w:sz w:val="24"/>
          <w:highlight w:val="none"/>
        </w:rPr>
        <w:t>文件的澄清或修改说明</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完全支持并响应，不存在误解或不明。</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2、遵纪守法，不触底线，公平公正参与竞争。我司提供的《响应文件》及其资料真实合法有效。</w:t>
      </w:r>
      <w:r>
        <w:rPr>
          <w:rFonts w:cs="仿宋" w:asciiTheme="minorEastAsia" w:hAnsiTheme="minorEastAsia" w:eastAsiaTheme="minorEastAsia"/>
          <w:sz w:val="24"/>
          <w:highlight w:val="none"/>
        </w:rPr>
        <w:t xml:space="preserve"> </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3、响应期间没有因质量或</w:t>
      </w:r>
      <w:r>
        <w:rPr>
          <w:rFonts w:cs="仿宋" w:asciiTheme="minorEastAsia" w:hAnsiTheme="minorEastAsia" w:eastAsiaTheme="minorEastAsia"/>
          <w:sz w:val="24"/>
          <w:highlight w:val="none"/>
        </w:rPr>
        <w:t>服务</w:t>
      </w:r>
      <w:r>
        <w:rPr>
          <w:rFonts w:hint="eastAsia" w:cs="仿宋" w:asciiTheme="minorEastAsia" w:hAnsiTheme="minorEastAsia" w:eastAsiaTheme="minorEastAsia"/>
          <w:sz w:val="24"/>
          <w:highlight w:val="none"/>
        </w:rPr>
        <w:t>问题被采购人或采购人上级</w:t>
      </w:r>
      <w:r>
        <w:rPr>
          <w:rFonts w:cs="仿宋" w:asciiTheme="minorEastAsia" w:hAnsiTheme="minorEastAsia" w:eastAsiaTheme="minorEastAsia"/>
          <w:sz w:val="24"/>
          <w:highlight w:val="none"/>
        </w:rPr>
        <w:t>机构</w:t>
      </w:r>
      <w:r>
        <w:rPr>
          <w:rFonts w:hint="eastAsia" w:cs="仿宋" w:asciiTheme="minorEastAsia" w:hAnsiTheme="minorEastAsia" w:eastAsiaTheme="minorEastAsia"/>
          <w:sz w:val="24"/>
          <w:highlight w:val="none"/>
        </w:rPr>
        <w:t>通报且在整改期内。</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4、响应单位法定代表人为同一个人或者存在控股关系，管理关系的不同单位，没有在本项目中同时报价。</w:t>
      </w:r>
    </w:p>
    <w:p>
      <w:pPr>
        <w:spacing w:line="360" w:lineRule="auto"/>
        <w:ind w:firstLine="480" w:firstLineChars="200"/>
        <w:jc w:val="both"/>
        <w:outlineLvl w:val="1"/>
        <w:rPr>
          <w:rFonts w:cs="仿宋" w:asciiTheme="minorEastAsia" w:hAnsiTheme="minorEastAsia" w:eastAsiaTheme="minorEastAsia"/>
          <w:sz w:val="24"/>
          <w:highlight w:val="none"/>
        </w:rPr>
      </w:pPr>
      <w:bookmarkStart w:id="140" w:name="_Toc19216"/>
      <w:r>
        <w:rPr>
          <w:rFonts w:hint="eastAsia" w:cs="仿宋" w:asciiTheme="minorEastAsia" w:hAnsiTheme="minorEastAsia" w:eastAsiaTheme="minorEastAsia"/>
          <w:sz w:val="24"/>
          <w:highlight w:val="none"/>
        </w:rPr>
        <w:t>5、无联合体另外报价。</w:t>
      </w:r>
      <w:bookmarkEnd w:id="140"/>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7</w:t>
      </w:r>
      <w:r>
        <w:rPr>
          <w:rFonts w:hint="eastAsia" w:cs="仿宋" w:asciiTheme="minorEastAsia" w:hAnsiTheme="minorEastAsia" w:eastAsiaTheme="minorEastAsia"/>
          <w:sz w:val="24"/>
          <w:highlight w:val="none"/>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8</w:t>
      </w:r>
      <w:r>
        <w:rPr>
          <w:rFonts w:hint="eastAsia" w:cs="仿宋" w:asciiTheme="minorEastAsia" w:hAnsiTheme="minorEastAsia" w:eastAsiaTheme="minorEastAsia"/>
          <w:sz w:val="24"/>
          <w:highlight w:val="none"/>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9</w:t>
      </w:r>
      <w:r>
        <w:rPr>
          <w:rFonts w:hint="eastAsia" w:cs="仿宋" w:asciiTheme="minorEastAsia" w:hAnsiTheme="minorEastAsia" w:eastAsiaTheme="minorEastAsia"/>
          <w:sz w:val="24"/>
          <w:highlight w:val="none"/>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专此承诺。</w:t>
      </w:r>
    </w:p>
    <w:p>
      <w:pPr>
        <w:spacing w:line="360" w:lineRule="auto"/>
        <w:ind w:firstLine="2880" w:firstLineChars="1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承诺单位</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印刷体全称</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单位公章</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 xml:space="preserve"> </w:t>
      </w:r>
      <w:r>
        <w:rPr>
          <w:rFonts w:cs="仿宋" w:asciiTheme="minorEastAsia" w:hAnsiTheme="minorEastAsia" w:eastAsiaTheme="minorEastAsia"/>
          <w:sz w:val="24"/>
          <w:highlight w:val="none"/>
        </w:rPr>
        <w:t xml:space="preserve">       </w:t>
      </w:r>
    </w:p>
    <w:p>
      <w:pPr>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承诺单位法定代表人或其委托代理人（印刷体+</w:t>
      </w:r>
      <w:r>
        <w:rPr>
          <w:rFonts w:cs="仿宋" w:asciiTheme="minorEastAsia" w:hAnsiTheme="minorEastAsia" w:eastAsiaTheme="minorEastAsia"/>
          <w:sz w:val="24"/>
          <w:highlight w:val="none"/>
        </w:rPr>
        <w:t>签字）：</w:t>
      </w:r>
    </w:p>
    <w:p>
      <w:pPr>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年</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月</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日</w:t>
      </w:r>
    </w:p>
    <w:p>
      <w:pPr>
        <w:spacing w:line="600" w:lineRule="exact"/>
        <w:jc w:val="center"/>
        <w:outlineLvl w:val="2"/>
        <w:rPr>
          <w:rFonts w:ascii="黑体" w:hAnsi="黑体" w:eastAsia="黑体" w:cs="仿宋"/>
          <w:sz w:val="36"/>
          <w:szCs w:val="36"/>
          <w:highlight w:val="none"/>
        </w:rPr>
      </w:pPr>
      <w:r>
        <w:rPr>
          <w:rFonts w:hint="eastAsia" w:cs="仿宋" w:asciiTheme="minorEastAsia" w:hAnsiTheme="minorEastAsia" w:eastAsiaTheme="minorEastAsia"/>
          <w:sz w:val="24"/>
          <w:highlight w:val="none"/>
        </w:rPr>
        <w:br w:type="page"/>
      </w:r>
      <w:bookmarkStart w:id="141" w:name="_Toc1877"/>
      <w:r>
        <w:rPr>
          <w:rFonts w:hint="eastAsia" w:ascii="黑体" w:hAnsi="黑体" w:eastAsia="黑体" w:cs="仿宋"/>
          <w:sz w:val="36"/>
          <w:szCs w:val="36"/>
          <w:highlight w:val="none"/>
        </w:rPr>
        <w:t>二、授权委托书</w:t>
      </w:r>
      <w:bookmarkEnd w:id="141"/>
    </w:p>
    <w:p>
      <w:pPr>
        <w:adjustRightInd w:val="0"/>
        <w:snapToGrid w:val="0"/>
        <w:spacing w:line="600" w:lineRule="exact"/>
        <w:ind w:left="420" w:leftChars="200"/>
        <w:jc w:val="both"/>
        <w:rPr>
          <w:rFonts w:cs="仿宋" w:asciiTheme="minorEastAsia" w:hAnsiTheme="minorEastAsia" w:eastAsiaTheme="minorEastAsia"/>
          <w:sz w:val="24"/>
          <w:highlight w:val="none"/>
        </w:rPr>
      </w:pPr>
    </w:p>
    <w:p>
      <w:pPr>
        <w:adjustRightInd w:val="0"/>
        <w:snapToGrid w:val="0"/>
        <w:spacing w:line="600" w:lineRule="exact"/>
        <w:ind w:left="420" w:left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(适用于有委托代理人的情况)</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委托期限:自本委托书签署之日起至</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身份证号码:</w:t>
      </w:r>
    </w:p>
    <w:p>
      <w:pPr>
        <w:adjustRightInd w:val="0"/>
        <w:snapToGrid w:val="0"/>
        <w:spacing w:line="600" w:lineRule="exact"/>
        <w:ind w:left="420" w:leftChars="200" w:firstLine="480" w:firstLineChars="200"/>
        <w:jc w:val="righ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年   月   日</w:t>
      </w:r>
    </w:p>
    <w:p>
      <w:pPr>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br w:type="page"/>
      </w:r>
    </w:p>
    <w:p>
      <w:pPr>
        <w:spacing w:line="600" w:lineRule="exact"/>
        <w:jc w:val="center"/>
        <w:outlineLvl w:val="2"/>
        <w:rPr>
          <w:rFonts w:ascii="黑体" w:hAnsi="黑体" w:eastAsia="黑体" w:cs="仿宋"/>
          <w:sz w:val="36"/>
          <w:szCs w:val="36"/>
          <w:highlight w:val="none"/>
        </w:rPr>
      </w:pPr>
      <w:bookmarkStart w:id="142" w:name="_Toc30391"/>
      <w:r>
        <w:rPr>
          <w:rFonts w:hint="eastAsia" w:ascii="黑体" w:hAnsi="黑体" w:eastAsia="黑体" w:cs="仿宋"/>
          <w:sz w:val="36"/>
          <w:szCs w:val="36"/>
          <w:highlight w:val="none"/>
        </w:rPr>
        <w:t>三、商务和技术偏差表</w:t>
      </w:r>
      <w:bookmarkEnd w:id="142"/>
    </w:p>
    <w:p>
      <w:pPr>
        <w:spacing w:line="600" w:lineRule="exact"/>
        <w:jc w:val="center"/>
        <w:rPr>
          <w:rFonts w:cs="仿宋" w:asciiTheme="minorEastAsia" w:hAnsiTheme="minorEastAsia" w:eastAsiaTheme="minorEastAsia"/>
          <w:sz w:val="24"/>
          <w:highlight w:val="none"/>
        </w:rPr>
      </w:pPr>
    </w:p>
    <w:tbl>
      <w:tblPr>
        <w:tblStyle w:val="20"/>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2809"/>
        <w:gridCol w:w="265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058" w:type="dxa"/>
            <w:vAlign w:val="center"/>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序号</w:t>
            </w:r>
          </w:p>
        </w:tc>
        <w:tc>
          <w:tcPr>
            <w:tcW w:w="2809" w:type="dxa"/>
            <w:vAlign w:val="center"/>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采购文件章节及条款号</w:t>
            </w:r>
          </w:p>
        </w:tc>
        <w:tc>
          <w:tcPr>
            <w:tcW w:w="2656" w:type="dxa"/>
            <w:vAlign w:val="center"/>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响应文件章节及条款号</w:t>
            </w:r>
          </w:p>
        </w:tc>
        <w:tc>
          <w:tcPr>
            <w:tcW w:w="2175" w:type="dxa"/>
            <w:vAlign w:val="center"/>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highlight w:val="none"/>
              </w:rPr>
            </w:pPr>
          </w:p>
        </w:tc>
        <w:tc>
          <w:tcPr>
            <w:tcW w:w="2809" w:type="dxa"/>
          </w:tcPr>
          <w:p>
            <w:pPr>
              <w:widowControl/>
              <w:spacing w:line="600" w:lineRule="exact"/>
              <w:jc w:val="both"/>
              <w:rPr>
                <w:rFonts w:cs="仿宋" w:asciiTheme="minorEastAsia" w:hAnsiTheme="minorEastAsia" w:eastAsiaTheme="minorEastAsia"/>
                <w:sz w:val="24"/>
                <w:highlight w:val="none"/>
              </w:rPr>
            </w:pPr>
          </w:p>
        </w:tc>
        <w:tc>
          <w:tcPr>
            <w:tcW w:w="2656" w:type="dxa"/>
          </w:tcPr>
          <w:p>
            <w:pPr>
              <w:widowControl/>
              <w:spacing w:line="600" w:lineRule="exact"/>
              <w:jc w:val="both"/>
              <w:rPr>
                <w:rFonts w:cs="仿宋" w:asciiTheme="minorEastAsia" w:hAnsiTheme="minorEastAsia" w:eastAsiaTheme="minorEastAsia"/>
                <w:sz w:val="24"/>
                <w:highlight w:val="none"/>
              </w:rPr>
            </w:pPr>
          </w:p>
        </w:tc>
        <w:tc>
          <w:tcPr>
            <w:tcW w:w="217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highlight w:val="none"/>
              </w:rPr>
            </w:pPr>
          </w:p>
        </w:tc>
        <w:tc>
          <w:tcPr>
            <w:tcW w:w="2809" w:type="dxa"/>
          </w:tcPr>
          <w:p>
            <w:pPr>
              <w:widowControl/>
              <w:spacing w:line="600" w:lineRule="exact"/>
              <w:jc w:val="both"/>
              <w:rPr>
                <w:rFonts w:cs="仿宋" w:asciiTheme="minorEastAsia" w:hAnsiTheme="minorEastAsia" w:eastAsiaTheme="minorEastAsia"/>
                <w:sz w:val="24"/>
                <w:highlight w:val="none"/>
              </w:rPr>
            </w:pPr>
          </w:p>
        </w:tc>
        <w:tc>
          <w:tcPr>
            <w:tcW w:w="2656" w:type="dxa"/>
          </w:tcPr>
          <w:p>
            <w:pPr>
              <w:widowControl/>
              <w:spacing w:line="600" w:lineRule="exact"/>
              <w:jc w:val="both"/>
              <w:rPr>
                <w:rFonts w:cs="仿宋" w:asciiTheme="minorEastAsia" w:hAnsiTheme="minorEastAsia" w:eastAsiaTheme="minorEastAsia"/>
                <w:sz w:val="24"/>
                <w:highlight w:val="none"/>
              </w:rPr>
            </w:pPr>
          </w:p>
        </w:tc>
        <w:tc>
          <w:tcPr>
            <w:tcW w:w="217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highlight w:val="none"/>
              </w:rPr>
            </w:pPr>
          </w:p>
        </w:tc>
        <w:tc>
          <w:tcPr>
            <w:tcW w:w="2809" w:type="dxa"/>
          </w:tcPr>
          <w:p>
            <w:pPr>
              <w:widowControl/>
              <w:spacing w:line="600" w:lineRule="exact"/>
              <w:jc w:val="both"/>
              <w:rPr>
                <w:rFonts w:cs="仿宋" w:asciiTheme="minorEastAsia" w:hAnsiTheme="minorEastAsia" w:eastAsiaTheme="minorEastAsia"/>
                <w:sz w:val="24"/>
                <w:highlight w:val="none"/>
              </w:rPr>
            </w:pPr>
          </w:p>
        </w:tc>
        <w:tc>
          <w:tcPr>
            <w:tcW w:w="2656" w:type="dxa"/>
          </w:tcPr>
          <w:p>
            <w:pPr>
              <w:widowControl/>
              <w:spacing w:line="600" w:lineRule="exact"/>
              <w:jc w:val="both"/>
              <w:rPr>
                <w:rFonts w:cs="仿宋" w:asciiTheme="minorEastAsia" w:hAnsiTheme="minorEastAsia" w:eastAsiaTheme="minorEastAsia"/>
                <w:sz w:val="24"/>
                <w:highlight w:val="none"/>
              </w:rPr>
            </w:pPr>
          </w:p>
        </w:tc>
        <w:tc>
          <w:tcPr>
            <w:tcW w:w="217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058" w:type="dxa"/>
          </w:tcPr>
          <w:p>
            <w:pPr>
              <w:widowControl/>
              <w:spacing w:line="600" w:lineRule="exact"/>
              <w:jc w:val="both"/>
              <w:rPr>
                <w:rFonts w:cs="仿宋" w:asciiTheme="minorEastAsia" w:hAnsiTheme="minorEastAsia" w:eastAsiaTheme="minorEastAsia"/>
                <w:sz w:val="24"/>
                <w:highlight w:val="none"/>
              </w:rPr>
            </w:pPr>
          </w:p>
        </w:tc>
        <w:tc>
          <w:tcPr>
            <w:tcW w:w="2809" w:type="dxa"/>
          </w:tcPr>
          <w:p>
            <w:pPr>
              <w:widowControl/>
              <w:spacing w:line="600" w:lineRule="exact"/>
              <w:jc w:val="both"/>
              <w:rPr>
                <w:rFonts w:cs="仿宋" w:asciiTheme="minorEastAsia" w:hAnsiTheme="minorEastAsia" w:eastAsiaTheme="minorEastAsia"/>
                <w:sz w:val="24"/>
                <w:highlight w:val="none"/>
              </w:rPr>
            </w:pPr>
          </w:p>
        </w:tc>
        <w:tc>
          <w:tcPr>
            <w:tcW w:w="2656" w:type="dxa"/>
          </w:tcPr>
          <w:p>
            <w:pPr>
              <w:widowControl/>
              <w:spacing w:line="600" w:lineRule="exact"/>
              <w:jc w:val="both"/>
              <w:rPr>
                <w:rFonts w:cs="仿宋" w:asciiTheme="minorEastAsia" w:hAnsiTheme="minorEastAsia" w:eastAsiaTheme="minorEastAsia"/>
                <w:sz w:val="24"/>
                <w:highlight w:val="none"/>
              </w:rPr>
            </w:pPr>
          </w:p>
        </w:tc>
        <w:tc>
          <w:tcPr>
            <w:tcW w:w="2175" w:type="dxa"/>
          </w:tcPr>
          <w:p>
            <w:pPr>
              <w:widowControl/>
              <w:spacing w:line="600" w:lineRule="exact"/>
              <w:jc w:val="both"/>
              <w:rPr>
                <w:rFonts w:cs="仿宋" w:asciiTheme="minorEastAsia" w:hAnsiTheme="minorEastAsia" w:eastAsiaTheme="minorEastAsia"/>
                <w:sz w:val="24"/>
                <w:highlight w:val="none"/>
              </w:rPr>
            </w:pPr>
          </w:p>
        </w:tc>
      </w:tr>
    </w:tbl>
    <w:p>
      <w:pPr>
        <w:spacing w:line="600" w:lineRule="exact"/>
        <w:ind w:left="420" w:left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供应商保证：除商务和技术偏差表列出的偏差外，供应商响应采购文件的全部要求。</w:t>
      </w:r>
    </w:p>
    <w:p>
      <w:pPr>
        <w:spacing w:line="240" w:lineRule="auto"/>
        <w:rPr>
          <w:rFonts w:ascii="黑体" w:hAnsi="黑体" w:eastAsia="黑体" w:cs="仿宋"/>
          <w:color w:val="FF0000"/>
          <w:sz w:val="36"/>
          <w:szCs w:val="36"/>
          <w:highlight w:val="none"/>
        </w:rPr>
      </w:pPr>
      <w:r>
        <w:rPr>
          <w:rFonts w:hint="eastAsia" w:ascii="黑体" w:hAnsi="黑体" w:eastAsia="黑体" w:cs="仿宋"/>
          <w:sz w:val="36"/>
          <w:szCs w:val="36"/>
          <w:highlight w:val="none"/>
        </w:rPr>
        <w:br w:type="page"/>
      </w:r>
    </w:p>
    <w:p>
      <w:pPr>
        <w:spacing w:line="600" w:lineRule="exact"/>
        <w:ind w:left="420"/>
        <w:jc w:val="center"/>
        <w:outlineLvl w:val="2"/>
        <w:rPr>
          <w:rFonts w:ascii="黑体" w:hAnsi="黑体" w:eastAsia="黑体" w:cs="仿宋"/>
          <w:sz w:val="36"/>
          <w:szCs w:val="36"/>
          <w:highlight w:val="none"/>
        </w:rPr>
      </w:pPr>
      <w:bookmarkStart w:id="143" w:name="_Toc2350"/>
      <w:r>
        <w:rPr>
          <w:rFonts w:hint="eastAsia" w:ascii="黑体" w:hAnsi="黑体" w:eastAsia="黑体" w:cs="仿宋"/>
          <w:sz w:val="36"/>
          <w:szCs w:val="36"/>
          <w:highlight w:val="none"/>
        </w:rPr>
        <w:t>四、报价表</w:t>
      </w:r>
      <w:bookmarkEnd w:id="143"/>
    </w:p>
    <w:p>
      <w:pPr>
        <w:spacing w:line="360" w:lineRule="auto"/>
        <w:jc w:val="left"/>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1.报价表说明</w:t>
      </w:r>
    </w:p>
    <w:p>
      <w:pPr>
        <w:spacing w:line="360" w:lineRule="auto"/>
        <w:jc w:val="left"/>
        <w:rPr>
          <w:rFonts w:hint="eastAsia"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2.报价表</w:t>
      </w:r>
    </w:p>
    <w:tbl>
      <w:tblPr>
        <w:tblStyle w:val="19"/>
        <w:tblpPr w:leftFromText="180" w:rightFromText="180" w:vertAnchor="text" w:horzAnchor="page" w:tblpX="1011" w:tblpY="172"/>
        <w:tblOverlap w:val="never"/>
        <w:tblW w:w="9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0"/>
        <w:gridCol w:w="742"/>
        <w:gridCol w:w="1124"/>
        <w:gridCol w:w="1297"/>
        <w:gridCol w:w="1733"/>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4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lang w:val="en-US" w:eastAsia="zh-CN"/>
              </w:rPr>
              <w:t xml:space="preserve">项 目 </w:t>
            </w:r>
            <w:r>
              <w:rPr>
                <w:rFonts w:hint="eastAsia" w:cs="仿宋" w:asciiTheme="minorEastAsia" w:hAnsiTheme="minorEastAsia" w:eastAsiaTheme="minorEastAsia"/>
                <w:szCs w:val="21"/>
                <w:highlight w:val="none"/>
              </w:rPr>
              <w:t>名 称</w:t>
            </w:r>
          </w:p>
        </w:tc>
        <w:tc>
          <w:tcPr>
            <w:tcW w:w="7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单位</w:t>
            </w: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数量</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综合单价</w:t>
            </w:r>
          </w:p>
        </w:tc>
        <w:tc>
          <w:tcPr>
            <w:tcW w:w="17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总价</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4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办公楼外墙真石漆</w:t>
            </w:r>
          </w:p>
        </w:tc>
        <w:tc>
          <w:tcPr>
            <w:tcW w:w="7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m²</w:t>
            </w: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800</w:t>
            </w:r>
          </w:p>
        </w:tc>
        <w:tc>
          <w:tcPr>
            <w:tcW w:w="129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cs="仿宋" w:asciiTheme="minorEastAsia" w:hAnsiTheme="minorEastAsia" w:eastAsiaTheme="minorEastAsia"/>
                <w:szCs w:val="21"/>
                <w:highlight w:val="none"/>
              </w:rPr>
            </w:pPr>
          </w:p>
        </w:tc>
        <w:tc>
          <w:tcPr>
            <w:tcW w:w="173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cs="仿宋" w:asciiTheme="minorEastAsia" w:hAnsiTheme="minorEastAsia" w:eastAsiaTheme="minorEastAsia"/>
                <w:szCs w:val="21"/>
                <w:highlight w:val="none"/>
              </w:rPr>
            </w:pPr>
          </w:p>
        </w:tc>
        <w:tc>
          <w:tcPr>
            <w:tcW w:w="225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default"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含所有工序及安全环保等全部费用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4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线路整理</w:t>
            </w:r>
          </w:p>
        </w:tc>
        <w:tc>
          <w:tcPr>
            <w:tcW w:w="7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1</w:t>
            </w: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cs="仿宋" w:asciiTheme="minorEastAsia" w:hAnsiTheme="minorEastAsia" w:eastAsiaTheme="minorEastAsia"/>
                <w:szCs w:val="21"/>
                <w:highlight w:val="none"/>
                <w:lang w:val="en-US"/>
              </w:rPr>
            </w:pPr>
            <w:r>
              <w:rPr>
                <w:rFonts w:hint="eastAsia" w:cs="仿宋" w:asciiTheme="minorEastAsia" w:hAnsiTheme="minorEastAsia" w:eastAsiaTheme="minorEastAsia"/>
                <w:szCs w:val="21"/>
                <w:highlight w:val="none"/>
                <w:lang w:val="en-US" w:eastAsia="zh-CN"/>
              </w:rPr>
              <w:t>项</w:t>
            </w:r>
          </w:p>
        </w:tc>
        <w:tc>
          <w:tcPr>
            <w:tcW w:w="129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cs="仿宋" w:asciiTheme="minorEastAsia" w:hAnsiTheme="minorEastAsia" w:eastAsiaTheme="minorEastAsia"/>
                <w:szCs w:val="21"/>
                <w:highlight w:val="none"/>
                <w:lang w:val="en-US" w:eastAsia="zh-CN"/>
              </w:rPr>
            </w:pPr>
          </w:p>
        </w:tc>
        <w:tc>
          <w:tcPr>
            <w:tcW w:w="173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cs="仿宋" w:asciiTheme="minorEastAsia" w:hAnsiTheme="minorEastAsia" w:eastAsiaTheme="minorEastAsia"/>
                <w:szCs w:val="21"/>
                <w:highlight w:val="none"/>
                <w:lang w:val="en-US" w:eastAsia="zh-CN"/>
              </w:rPr>
            </w:pPr>
          </w:p>
        </w:tc>
        <w:tc>
          <w:tcPr>
            <w:tcW w:w="225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default" w:cs="仿宋" w:asciiTheme="minorEastAsia" w:hAnsiTheme="minorEastAsia" w:eastAsiaTheme="minorEastAsia"/>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2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税率</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3%</w:t>
            </w:r>
          </w:p>
        </w:tc>
        <w:tc>
          <w:tcPr>
            <w:tcW w:w="17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lang w:val="en-US" w:eastAsia="zh-CN"/>
              </w:rPr>
            </w:pP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2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总价</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lang w:val="en-US" w:eastAsia="zh-CN"/>
              </w:rPr>
            </w:pPr>
          </w:p>
        </w:tc>
        <w:tc>
          <w:tcPr>
            <w:tcW w:w="17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lang w:val="en-US" w:eastAsia="zh-CN"/>
              </w:rPr>
            </w:pP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cs="仿宋" w:asciiTheme="minorEastAsia" w:hAnsiTheme="minorEastAsia" w:eastAsiaTheme="minorEastAsia"/>
                <w:szCs w:val="21"/>
                <w:highlight w:val="none"/>
              </w:rPr>
            </w:pPr>
          </w:p>
        </w:tc>
      </w:tr>
    </w:tbl>
    <w:p>
      <w:pPr>
        <w:pStyle w:val="17"/>
        <w:ind w:left="0" w:leftChars="0" w:firstLine="0" w:firstLineChars="0"/>
        <w:jc w:val="both"/>
        <w:rPr>
          <w:rFonts w:hint="default" w:ascii="宋体" w:hAnsi="Times New Roman" w:eastAsia="宋体" w:cs="Times New Roman"/>
          <w:szCs w:val="20"/>
          <w:lang w:val="en-US" w:eastAsia="zh-CN"/>
        </w:rPr>
      </w:pPr>
      <w:r>
        <w:rPr>
          <w:rFonts w:hint="eastAsia" w:cs="Times New Roman"/>
          <w:szCs w:val="20"/>
          <w:lang w:val="en-US" w:eastAsia="zh-CN"/>
        </w:rPr>
        <w:t>说明：报价人需上述外墙真石漆综合单价组成的分项表</w:t>
      </w:r>
    </w:p>
    <w:p>
      <w:pPr>
        <w:spacing w:line="600" w:lineRule="exact"/>
        <w:jc w:val="left"/>
        <w:rPr>
          <w:rFonts w:hint="eastAsia"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lang w:val="en-US" w:eastAsia="zh-CN"/>
        </w:rPr>
        <w:t>另</w:t>
      </w:r>
      <w:r>
        <w:rPr>
          <w:rFonts w:hint="eastAsia" w:cs="仿宋" w:asciiTheme="minorEastAsia" w:hAnsiTheme="minorEastAsia" w:eastAsiaTheme="minorEastAsia"/>
          <w:szCs w:val="21"/>
          <w:highlight w:val="none"/>
        </w:rPr>
        <w:t>注：</w:t>
      </w:r>
      <w:r>
        <w:rPr>
          <w:rFonts w:hint="eastAsia" w:cs="仿宋" w:asciiTheme="minorEastAsia" w:hAnsiTheme="minorEastAsia" w:eastAsiaTheme="minorEastAsia"/>
          <w:szCs w:val="21"/>
          <w:highlight w:val="none"/>
          <w:lang w:val="en-US" w:eastAsia="zh-CN"/>
        </w:rPr>
        <w:t>1.</w:t>
      </w:r>
      <w:r>
        <w:rPr>
          <w:rFonts w:hint="eastAsia" w:cs="仿宋" w:asciiTheme="minorEastAsia" w:hAnsiTheme="minorEastAsia" w:eastAsiaTheme="minorEastAsia"/>
          <w:szCs w:val="21"/>
          <w:highlight w:val="none"/>
        </w:rPr>
        <w:t>若分项费用的计算依据、过程和公式不便在表中表述，可单独另附表格或描述进行说明。</w:t>
      </w:r>
    </w:p>
    <w:p>
      <w:pPr>
        <w:spacing w:line="600" w:lineRule="exact"/>
        <w:jc w:val="left"/>
        <w:rPr>
          <w:rFonts w:hint="eastAsia"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2.本项目的报价采用包工、包质量、包安全生产和安全保卫、包文明施工、包伙食费与交通费，综合单价包干的方式进行承包。</w:t>
      </w:r>
    </w:p>
    <w:p>
      <w:pPr>
        <w:pStyle w:val="17"/>
        <w:rPr>
          <w:rFonts w:hint="default" w:eastAsiaTheme="minorEastAsia"/>
          <w:lang w:val="en-US" w:eastAsia="zh-CN"/>
        </w:rPr>
      </w:pPr>
    </w:p>
    <w:p>
      <w:pPr>
        <w:spacing w:line="600" w:lineRule="exact"/>
        <w:jc w:val="left"/>
        <w:rPr>
          <w:rFonts w:ascii="黑体" w:hAnsi="黑体" w:eastAsia="黑体" w:cs="仿宋"/>
          <w:sz w:val="36"/>
          <w:szCs w:val="36"/>
          <w:highlight w:val="none"/>
        </w:rPr>
      </w:pPr>
      <w:r>
        <w:rPr>
          <w:rFonts w:hint="eastAsia" w:cs="仿宋" w:asciiTheme="minorEastAsia" w:hAnsiTheme="minorEastAsia" w:eastAsiaTheme="minorEastAsia"/>
          <w:sz w:val="24"/>
          <w:highlight w:val="none"/>
        </w:rPr>
        <w:br w:type="page"/>
      </w:r>
      <w:bookmarkStart w:id="144" w:name="_Toc2150"/>
      <w:r>
        <w:rPr>
          <w:rFonts w:hint="eastAsia" w:ascii="黑体" w:hAnsi="黑体" w:eastAsia="黑体" w:cs="仿宋"/>
          <w:sz w:val="36"/>
          <w:szCs w:val="36"/>
          <w:highlight w:val="none"/>
        </w:rPr>
        <w:t>五、资格审查资料</w:t>
      </w:r>
      <w:bookmarkEnd w:id="144"/>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（一）基本情况</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供应商应根据供应商须知前附表第3.5（1）项和第3.5（2）项的要求提供主体资格证明及相关资质证明资料。</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供应商还应根据供应商须知前地表第3.5（5）项、第3.5（7）项和第3.5（8）项的要求提供其他相关证明材料。</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（三）近年的类似项目情况表</w:t>
      </w:r>
    </w:p>
    <w:tbl>
      <w:tblPr>
        <w:tblStyle w:val="2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项目名称</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服务内容</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委托人/发包人名称</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委托人/发包人联系人及电话</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合同价格</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服务是否完成</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项目负责人（如有）</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项目概况及供应商履约情况</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备注</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bl>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注：供应商应根据供应商须知前附表第3.5（4）项的要求在本表后附相关证明材料。</w:t>
      </w:r>
    </w:p>
    <w:p>
      <w:pPr>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br w:type="page"/>
      </w:r>
    </w:p>
    <w:p>
      <w:pPr>
        <w:numPr>
          <w:ilvl w:val="0"/>
          <w:numId w:val="2"/>
        </w:numPr>
        <w:spacing w:line="600" w:lineRule="exact"/>
        <w:jc w:val="both"/>
        <w:rPr>
          <w:rFonts w:hint="eastAsia"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拟委任的主要人员汇总表</w:t>
      </w:r>
    </w:p>
    <w:p>
      <w:pPr>
        <w:pStyle w:val="17"/>
        <w:numPr>
          <w:ilvl w:val="-1"/>
          <w:numId w:val="0"/>
        </w:numPr>
        <w:ind w:firstLine="0"/>
        <w:rPr>
          <w:highlight w:val="none"/>
        </w:rPr>
      </w:pPr>
    </w:p>
    <w:tbl>
      <w:tblPr>
        <w:tblStyle w:val="20"/>
        <w:tblpPr w:leftFromText="180" w:rightFromText="180" w:vertAnchor="text" w:horzAnchor="page" w:tblpX="1267" w:tblpY="487"/>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5"/>
        <w:gridCol w:w="1095"/>
        <w:gridCol w:w="1095"/>
        <w:gridCol w:w="1095"/>
        <w:gridCol w:w="1095"/>
        <w:gridCol w:w="1095"/>
        <w:gridCol w:w="10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序号</w:t>
            </w:r>
          </w:p>
        </w:tc>
        <w:tc>
          <w:tcPr>
            <w:tcW w:w="1095"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本项目任职</w:t>
            </w:r>
          </w:p>
        </w:tc>
        <w:tc>
          <w:tcPr>
            <w:tcW w:w="1095"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姓名</w:t>
            </w:r>
          </w:p>
        </w:tc>
        <w:tc>
          <w:tcPr>
            <w:tcW w:w="1095"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职称</w:t>
            </w:r>
          </w:p>
        </w:tc>
        <w:tc>
          <w:tcPr>
            <w:tcW w:w="1095"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专业</w:t>
            </w:r>
          </w:p>
        </w:tc>
        <w:tc>
          <w:tcPr>
            <w:tcW w:w="3285" w:type="dxa"/>
            <w:gridSpan w:val="3"/>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执业或职业资格证明</w:t>
            </w:r>
          </w:p>
        </w:tc>
        <w:tc>
          <w:tcPr>
            <w:tcW w:w="1095"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证书名称</w:t>
            </w:r>
          </w:p>
        </w:tc>
        <w:tc>
          <w:tcPr>
            <w:tcW w:w="1095"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级别</w:t>
            </w:r>
          </w:p>
        </w:tc>
        <w:tc>
          <w:tcPr>
            <w:tcW w:w="1095"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证号</w:t>
            </w:r>
          </w:p>
        </w:tc>
        <w:tc>
          <w:tcPr>
            <w:tcW w:w="1095"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hint="eastAsia" w:cs="仿宋" w:asciiTheme="minorEastAsia" w:hAnsiTheme="minorEastAsia" w:eastAsiaTheme="minorEastAsia"/>
                <w:sz w:val="24"/>
                <w:highlight w:val="none"/>
                <w:lang w:val="en-US" w:eastAsia="zh-CN"/>
              </w:rPr>
            </w:pPr>
            <w:r>
              <w:rPr>
                <w:rFonts w:hint="eastAsia" w:cs="仿宋" w:asciiTheme="minorEastAsia" w:hAnsiTheme="minorEastAsia" w:eastAsiaTheme="minorEastAsia"/>
                <w:sz w:val="24"/>
                <w:highlight w:val="none"/>
                <w:lang w:val="en-US" w:eastAsia="zh-CN"/>
              </w:rPr>
              <w:t>1</w:t>
            </w:r>
          </w:p>
        </w:tc>
        <w:tc>
          <w:tcPr>
            <w:tcW w:w="1095" w:type="dxa"/>
          </w:tcPr>
          <w:p>
            <w:pPr>
              <w:widowControl/>
              <w:spacing w:line="600" w:lineRule="exact"/>
              <w:jc w:val="both"/>
              <w:rPr>
                <w:rFonts w:hint="default" w:cs="仿宋" w:asciiTheme="minorEastAsia" w:hAnsiTheme="minorEastAsia" w:eastAsiaTheme="minorEastAsia"/>
                <w:sz w:val="24"/>
                <w:highlight w:val="none"/>
                <w:lang w:val="en-US" w:eastAsia="zh-CN"/>
              </w:rPr>
            </w:pPr>
            <w:r>
              <w:rPr>
                <w:rFonts w:hint="eastAsia" w:cs="仿宋" w:asciiTheme="minorEastAsia" w:hAnsiTheme="minorEastAsia" w:eastAsiaTheme="minorEastAsia"/>
                <w:sz w:val="24"/>
                <w:highlight w:val="none"/>
                <w:lang w:val="en-US" w:eastAsia="zh-CN"/>
              </w:rPr>
              <w:t>项目负责人</w:t>
            </w: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hint="eastAsia" w:cs="仿宋" w:asciiTheme="minorEastAsia" w:hAnsiTheme="minorEastAsia" w:eastAsiaTheme="minorEastAsia"/>
                <w:sz w:val="24"/>
                <w:highlight w:val="none"/>
                <w:lang w:eastAsia="zh-CN"/>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bl>
    <w:p>
      <w:pPr>
        <w:jc w:val="both"/>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pStyle w:val="3"/>
        <w:spacing w:before="0" w:after="0" w:line="380" w:lineRule="atLeast"/>
        <w:jc w:val="both"/>
        <w:rPr>
          <w:rFonts w:asciiTheme="minorEastAsia" w:hAnsiTheme="minorEastAsia" w:eastAsiaTheme="minorEastAsia"/>
          <w:b w:val="0"/>
          <w:sz w:val="24"/>
          <w:szCs w:val="24"/>
          <w:highlight w:val="none"/>
        </w:rPr>
      </w:pPr>
      <w:bookmarkStart w:id="145" w:name="_Toc7573"/>
      <w:bookmarkStart w:id="146" w:name="_Toc32154"/>
      <w:bookmarkStart w:id="147" w:name="_Toc17724"/>
      <w:r>
        <w:rPr>
          <w:rFonts w:hint="eastAsia" w:asciiTheme="minorEastAsia" w:hAnsiTheme="minorEastAsia" w:eastAsiaTheme="minorEastAsia"/>
          <w:b w:val="0"/>
          <w:sz w:val="24"/>
          <w:szCs w:val="24"/>
          <w:highlight w:val="none"/>
        </w:rPr>
        <w:t>（五）主要人员简</w:t>
      </w:r>
      <w:r>
        <w:rPr>
          <w:rFonts w:asciiTheme="minorEastAsia" w:hAnsiTheme="minorEastAsia" w:eastAsiaTheme="minorEastAsia"/>
          <w:b w:val="0"/>
          <w:sz w:val="24"/>
          <w:szCs w:val="24"/>
          <w:highlight w:val="none"/>
        </w:rPr>
        <w:t>历表</w:t>
      </w:r>
      <w:bookmarkEnd w:id="145"/>
      <w:bookmarkEnd w:id="146"/>
      <w:bookmarkEnd w:id="147"/>
    </w:p>
    <w:p>
      <w:pPr>
        <w:autoSpaceDE w:val="0"/>
        <w:autoSpaceDN w:val="0"/>
        <w:spacing w:line="400" w:lineRule="atLeast"/>
        <w:jc w:val="both"/>
        <w:textAlignment w:val="bottom"/>
        <w:rPr>
          <w:rFonts w:asciiTheme="minorEastAsia" w:hAnsiTheme="minorEastAsia" w:eastAsiaTheme="minorEastAsia"/>
          <w:sz w:val="24"/>
          <w:highlight w:val="none"/>
        </w:rPr>
      </w:pPr>
    </w:p>
    <w:tbl>
      <w:tblPr>
        <w:tblStyle w:val="19"/>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1"/>
        <w:gridCol w:w="56"/>
        <w:gridCol w:w="1615"/>
        <w:gridCol w:w="1177"/>
        <w:gridCol w:w="1534"/>
        <w:gridCol w:w="374"/>
        <w:gridCol w:w="1714"/>
        <w:gridCol w:w="428"/>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371"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姓    名</w:t>
            </w:r>
          </w:p>
        </w:tc>
        <w:tc>
          <w:tcPr>
            <w:tcW w:w="1671" w:type="dxa"/>
            <w:gridSpan w:val="2"/>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1177"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年    龄</w:t>
            </w:r>
          </w:p>
        </w:tc>
        <w:tc>
          <w:tcPr>
            <w:tcW w:w="1534" w:type="dxa"/>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2088" w:type="dxa"/>
            <w:gridSpan w:val="2"/>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hint="eastAsia" w:cs="仿宋" w:asciiTheme="minorEastAsia" w:hAnsiTheme="minorEastAsia" w:eastAsiaTheme="minorEastAsia"/>
                <w:sz w:val="24"/>
                <w:highlight w:val="none"/>
              </w:rPr>
              <w:t>执业或职业资格证书名称</w:t>
            </w:r>
          </w:p>
        </w:tc>
        <w:tc>
          <w:tcPr>
            <w:tcW w:w="1853"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71"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职称</w:t>
            </w:r>
          </w:p>
        </w:tc>
        <w:tc>
          <w:tcPr>
            <w:tcW w:w="1671" w:type="dxa"/>
            <w:gridSpan w:val="2"/>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1177"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学    历</w:t>
            </w:r>
          </w:p>
        </w:tc>
        <w:tc>
          <w:tcPr>
            <w:tcW w:w="1534" w:type="dxa"/>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2088" w:type="dxa"/>
            <w:gridSpan w:val="2"/>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拟在本</w:t>
            </w:r>
            <w:r>
              <w:rPr>
                <w:rFonts w:hint="eastAsia" w:asciiTheme="minorEastAsia" w:hAnsiTheme="minorEastAsia" w:eastAsiaTheme="minorEastAsia"/>
                <w:sz w:val="24"/>
                <w:highlight w:val="none"/>
              </w:rPr>
              <w:t>项目</w:t>
            </w:r>
            <w:r>
              <w:rPr>
                <w:rFonts w:asciiTheme="minorEastAsia" w:hAnsiTheme="minorEastAsia" w:eastAsiaTheme="minorEastAsia"/>
                <w:sz w:val="24"/>
                <w:highlight w:val="none"/>
              </w:rPr>
              <w:t>任职</w:t>
            </w:r>
          </w:p>
        </w:tc>
        <w:tc>
          <w:tcPr>
            <w:tcW w:w="1853"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71"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工作年限</w:t>
            </w:r>
          </w:p>
        </w:tc>
        <w:tc>
          <w:tcPr>
            <w:tcW w:w="4382" w:type="dxa"/>
            <w:gridSpan w:val="4"/>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2088" w:type="dxa"/>
            <w:gridSpan w:val="2"/>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从事</w:t>
            </w:r>
            <w:r>
              <w:rPr>
                <w:rFonts w:asciiTheme="minorEastAsia" w:hAnsiTheme="minorEastAsia" w:eastAsiaTheme="minorEastAsia"/>
                <w:sz w:val="24"/>
                <w:highlight w:val="none"/>
              </w:rPr>
              <w:t>类似</w:t>
            </w:r>
            <w:r>
              <w:rPr>
                <w:rFonts w:hint="eastAsia" w:asciiTheme="minorEastAsia" w:hAnsiTheme="minorEastAsia" w:eastAsiaTheme="minorEastAsia"/>
                <w:sz w:val="24"/>
                <w:highlight w:val="none"/>
              </w:rPr>
              <w:t>工作</w:t>
            </w:r>
            <w:r>
              <w:rPr>
                <w:rFonts w:asciiTheme="minorEastAsia" w:hAnsiTheme="minorEastAsia" w:eastAsiaTheme="minorEastAsia"/>
                <w:sz w:val="24"/>
                <w:highlight w:val="none"/>
              </w:rPr>
              <w:t>年限</w:t>
            </w:r>
          </w:p>
        </w:tc>
        <w:tc>
          <w:tcPr>
            <w:tcW w:w="1853"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371" w:type="dxa"/>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毕业学校</w:t>
            </w:r>
          </w:p>
        </w:tc>
        <w:tc>
          <w:tcPr>
            <w:tcW w:w="8323" w:type="dxa"/>
            <w:gridSpan w:val="8"/>
            <w:vAlign w:val="center"/>
          </w:tcPr>
          <w:p>
            <w:pPr>
              <w:autoSpaceDE w:val="0"/>
              <w:autoSpaceDN w:val="0"/>
              <w:spacing w:before="60" w:beforeLines="25" w:after="60" w:afterLines="25" w:line="288" w:lineRule="auto"/>
              <w:ind w:left="-187" w:leftChars="-89"/>
              <w:jc w:val="both"/>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9694" w:type="dxa"/>
            <w:gridSpan w:val="9"/>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主要工作</w:t>
            </w:r>
            <w:r>
              <w:rPr>
                <w:rFonts w:asciiTheme="minorEastAsia" w:hAnsiTheme="minorEastAsia" w:eastAsiaTheme="minorEastAsia"/>
                <w:sz w:val="24"/>
                <w:highlight w:val="none"/>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时  间</w:t>
            </w:r>
          </w:p>
        </w:tc>
        <w:tc>
          <w:tcPr>
            <w:tcW w:w="4700" w:type="dxa"/>
            <w:gridSpan w:val="4"/>
            <w:vAlign w:val="center"/>
          </w:tcPr>
          <w:p>
            <w:pPr>
              <w:pStyle w:val="32"/>
              <w:adjustRightInd/>
              <w:snapToGrid/>
              <w:spacing w:before="60" w:beforeLines="25" w:after="60" w:afterLines="25" w:line="288" w:lineRule="auto"/>
              <w:jc w:val="both"/>
              <w:textAlignment w:val="bottom"/>
              <w:rPr>
                <w:rFonts w:asciiTheme="minorEastAsia" w:hAnsiTheme="minorEastAsia" w:eastAsiaTheme="minorEastAsia"/>
                <w:spacing w:val="0"/>
                <w:kern w:val="2"/>
                <w:sz w:val="24"/>
                <w:szCs w:val="24"/>
                <w:highlight w:val="none"/>
              </w:rPr>
            </w:pPr>
            <w:r>
              <w:rPr>
                <w:rFonts w:asciiTheme="minorEastAsia" w:hAnsiTheme="minorEastAsia" w:eastAsiaTheme="minorEastAsia"/>
                <w:spacing w:val="0"/>
                <w:kern w:val="2"/>
                <w:sz w:val="24"/>
                <w:szCs w:val="24"/>
                <w:highlight w:val="none"/>
              </w:rPr>
              <w:t>参加过的类似项目</w:t>
            </w:r>
          </w:p>
        </w:tc>
        <w:tc>
          <w:tcPr>
            <w:tcW w:w="2142" w:type="dxa"/>
            <w:gridSpan w:val="2"/>
            <w:vAlign w:val="center"/>
          </w:tcPr>
          <w:p>
            <w:pPr>
              <w:pStyle w:val="32"/>
              <w:adjustRightInd/>
              <w:snapToGrid/>
              <w:spacing w:before="60" w:beforeLines="25" w:after="60" w:afterLines="25" w:line="288" w:lineRule="auto"/>
              <w:jc w:val="both"/>
              <w:textAlignment w:val="bottom"/>
              <w:rPr>
                <w:rFonts w:asciiTheme="minorEastAsia" w:hAnsiTheme="minorEastAsia" w:eastAsiaTheme="minorEastAsia"/>
                <w:spacing w:val="0"/>
                <w:kern w:val="2"/>
                <w:sz w:val="24"/>
                <w:szCs w:val="24"/>
                <w:highlight w:val="none"/>
              </w:rPr>
            </w:pPr>
            <w:r>
              <w:rPr>
                <w:rFonts w:asciiTheme="minorEastAsia" w:hAnsiTheme="minorEastAsia" w:eastAsiaTheme="minorEastAsia"/>
                <w:spacing w:val="0"/>
                <w:kern w:val="2"/>
                <w:sz w:val="24"/>
                <w:szCs w:val="24"/>
                <w:highlight w:val="none"/>
              </w:rPr>
              <w:t>担任职务</w:t>
            </w:r>
          </w:p>
        </w:tc>
        <w:tc>
          <w:tcPr>
            <w:tcW w:w="1425" w:type="dxa"/>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bl>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注：供应商应根据供应商须知前附表第3.5（6）项的要求在本表后附相关证明材料。</w:t>
      </w:r>
    </w:p>
    <w:p>
      <w:pPr>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br w:type="page"/>
      </w:r>
    </w:p>
    <w:p>
      <w:pPr>
        <w:adjustRightInd w:val="0"/>
        <w:snapToGrid w:val="0"/>
        <w:spacing w:line="600" w:lineRule="exact"/>
        <w:jc w:val="center"/>
        <w:outlineLvl w:val="2"/>
        <w:rPr>
          <w:rFonts w:ascii="黑体" w:hAnsi="黑体" w:eastAsia="黑体" w:cs="仿宋"/>
          <w:sz w:val="36"/>
          <w:szCs w:val="36"/>
          <w:highlight w:val="none"/>
        </w:rPr>
      </w:pPr>
      <w:bookmarkStart w:id="148" w:name="_Toc16758"/>
      <w:r>
        <w:rPr>
          <w:rFonts w:hint="eastAsia" w:ascii="黑体" w:hAnsi="黑体" w:eastAsia="黑体" w:cs="仿宋"/>
          <w:sz w:val="36"/>
          <w:szCs w:val="36"/>
          <w:highlight w:val="none"/>
        </w:rPr>
        <w:t>六、响应方案</w:t>
      </w:r>
      <w:bookmarkEnd w:id="148"/>
    </w:p>
    <w:p>
      <w:pPr>
        <w:pStyle w:val="17"/>
        <w:rPr>
          <w:highlight w:val="none"/>
        </w:rPr>
      </w:pP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响应方案一般包括(但不限于)下列内容:</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(1)对项目的理解;</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(2)服务范围及内容;</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(3)服务工作的依据、工作目标;</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(4)服务机构设置(框图)、岗位职责;</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(5)拟投入本项目的服务人员及主要人员简历;</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(6)拟分包计划及情况说明;</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(7)服务质量、进度、保密等保证措施;</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(8)服务工作重点、难点分析;</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(9)对本项目的合理化建议。</w:t>
      </w:r>
    </w:p>
    <w:p>
      <w:pPr>
        <w:jc w:val="both"/>
        <w:rPr>
          <w:rFonts w:cs="仿宋" w:asciiTheme="minorEastAsia" w:hAnsiTheme="minorEastAsia" w:eastAsiaTheme="minorEastAsia"/>
          <w:sz w:val="24"/>
          <w:highlight w:val="none"/>
        </w:rPr>
      </w:pPr>
    </w:p>
    <w:p>
      <w:pPr>
        <w:rPr>
          <w:rFonts w:ascii="微软雅黑" w:hAnsi="微软雅黑" w:eastAsia="微软雅黑"/>
          <w:sz w:val="24"/>
          <w:szCs w:val="24"/>
          <w:highlight w:val="none"/>
          <w:lang w:val="zh-CN"/>
        </w:rPr>
      </w:pPr>
      <w:r>
        <w:rPr>
          <w:rFonts w:ascii="微软雅黑" w:hAnsi="微软雅黑" w:eastAsia="微软雅黑"/>
          <w:sz w:val="24"/>
          <w:szCs w:val="24"/>
          <w:highlight w:val="none"/>
          <w:lang w:val="zh-CN"/>
        </w:rPr>
        <w:br w:type="page"/>
      </w:r>
    </w:p>
    <w:p>
      <w:pPr>
        <w:adjustRightInd w:val="0"/>
        <w:snapToGrid w:val="0"/>
        <w:spacing w:line="600" w:lineRule="exact"/>
        <w:jc w:val="center"/>
        <w:outlineLvl w:val="2"/>
        <w:rPr>
          <w:rFonts w:ascii="黑体" w:hAnsi="黑体" w:eastAsia="黑体" w:cs="仿宋"/>
          <w:sz w:val="36"/>
          <w:szCs w:val="36"/>
          <w:highlight w:val="none"/>
        </w:rPr>
      </w:pPr>
      <w:bookmarkStart w:id="149" w:name="_Toc6073"/>
      <w:r>
        <w:rPr>
          <w:rFonts w:hint="eastAsia" w:ascii="黑体" w:hAnsi="黑体" w:eastAsia="黑体" w:cs="仿宋"/>
          <w:sz w:val="36"/>
          <w:szCs w:val="36"/>
          <w:highlight w:val="none"/>
        </w:rPr>
        <w:t>七、其他资料</w:t>
      </w:r>
      <w:bookmarkEnd w:id="149"/>
    </w:p>
    <w:p>
      <w:pPr>
        <w:adjustRightInd w:val="0"/>
        <w:snapToGrid w:val="0"/>
        <w:spacing w:line="600" w:lineRule="exact"/>
        <w:ind w:left="420" w:leftChars="200"/>
        <w:jc w:val="both"/>
        <w:rPr>
          <w:rFonts w:cs="仿宋" w:asciiTheme="minorEastAsia" w:hAnsiTheme="minorEastAsia" w:eastAsiaTheme="minorEastAsia"/>
          <w:sz w:val="24"/>
          <w:highlight w:val="none"/>
        </w:rPr>
      </w:pPr>
    </w:p>
    <w:p>
      <w:pPr>
        <w:adjustRightInd w:val="0"/>
        <w:snapToGrid w:val="0"/>
        <w:spacing w:line="600" w:lineRule="exact"/>
        <w:ind w:left="420" w:left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供应商需提交的其他资料。</w:t>
      </w:r>
    </w:p>
    <w:p>
      <w:pPr>
        <w:pStyle w:val="17"/>
        <w:rPr>
          <w:rFonts w:ascii="微软雅黑" w:hAnsi="微软雅黑" w:eastAsia="微软雅黑"/>
          <w:sz w:val="24"/>
          <w:szCs w:val="24"/>
          <w:highlight w:val="none"/>
          <w:lang w:val="zh-CN"/>
        </w:rPr>
      </w:pPr>
    </w:p>
    <w:p>
      <w:pPr>
        <w:pStyle w:val="17"/>
        <w:rPr>
          <w:rFonts w:ascii="微软雅黑" w:hAnsi="微软雅黑" w:eastAsia="微软雅黑"/>
          <w:sz w:val="24"/>
          <w:szCs w:val="24"/>
          <w:highlight w:val="none"/>
          <w:lang w:val="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153"/>
        <w:tab w:val="left" w:pos="5373"/>
        <w:tab w:val="right" w:pos="8210"/>
        <w:tab w:val="right" w:pos="8306"/>
      </w:tabs>
      <w:jc w:val="lef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tabs>
                              <w:tab w:val="center" w:pos="4153"/>
                              <w:tab w:val="right" w:pos="8306"/>
                            </w:tabs>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0"/>
                      <w:tabs>
                        <w:tab w:val="center" w:pos="4153"/>
                        <w:tab w:val="right" w:pos="8306"/>
                      </w:tabs>
                    </w:pPr>
                    <w:r>
                      <w:fldChar w:fldCharType="begin"/>
                    </w:r>
                    <w:r>
                      <w:instrText xml:space="preserve"> PAGE  \* MERGEFORMAT </w:instrText>
                    </w:r>
                    <w:r>
                      <w:fldChar w:fldCharType="separate"/>
                    </w:r>
                    <w:r>
                      <w:t>28</w:t>
                    </w:r>
                    <w:r>
                      <w:fldChar w:fldCharType="end"/>
                    </w:r>
                  </w:p>
                </w:txbxContent>
              </v:textbox>
            </v:shape>
          </w:pict>
        </mc:Fallback>
      </mc:AlternateContent>
    </w:r>
    <w:r>
      <w:rPr>
        <w:rFonts w:hint="eastAsia"/>
        <w:lang w:eastAsia="zh-CN"/>
      </w:rPr>
      <w:tab/>
    </w:r>
    <w:r>
      <w:rPr>
        <w:rFonts w:hint="eastAsia"/>
        <w:lang w:eastAsia="zh-CN"/>
      </w:rPr>
      <w:tab/>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240" w:lineRule="auto"/>
      </w:pPr>
      <w:r>
        <w:separator/>
      </w:r>
    </w:p>
  </w:footnote>
  <w:footnote w:type="continuationSeparator" w:id="7">
    <w:p>
      <w:pPr>
        <w:spacing w:line="240" w:lineRule="auto"/>
      </w:pPr>
      <w:r>
        <w:continuationSeparator/>
      </w:r>
    </w:p>
  </w:footnote>
  <w:footnote w:id="0">
    <w:p>
      <w:pPr>
        <w:pStyle w:val="13"/>
        <w:spacing w:line="280" w:lineRule="atLeast"/>
        <w:ind w:left="0" w:firstLine="0"/>
        <w:rPr>
          <w:color w:val="FF0000"/>
        </w:rPr>
      </w:pPr>
    </w:p>
  </w:footnote>
  <w:footnote w:id="1">
    <w:p>
      <w:pPr>
        <w:pStyle w:val="13"/>
        <w:ind w:left="0" w:firstLine="0"/>
        <w:rPr>
          <w:sz w:val="24"/>
          <w:szCs w:val="24"/>
        </w:rPr>
      </w:pPr>
    </w:p>
  </w:footnote>
  <w:footnote w:id="2">
    <w:p>
      <w:pPr>
        <w:pStyle w:val="13"/>
        <w:ind w:left="0" w:firstLine="0"/>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4ECB7D"/>
    <w:multiLevelType w:val="singleLevel"/>
    <w:tmpl w:val="C94ECB7D"/>
    <w:lvl w:ilvl="0" w:tentative="0">
      <w:start w:val="1"/>
      <w:numFmt w:val="chineseCounting"/>
      <w:suff w:val="nothing"/>
      <w:lvlText w:val="（%1）"/>
      <w:lvlJc w:val="left"/>
      <w:rPr>
        <w:rFonts w:hint="eastAsia"/>
      </w:rPr>
    </w:lvl>
  </w:abstractNum>
  <w:abstractNum w:abstractNumId="1">
    <w:nsid w:val="EA1BF026"/>
    <w:multiLevelType w:val="singleLevel"/>
    <w:tmpl w:val="EA1BF026"/>
    <w:lvl w:ilvl="0" w:tentative="0">
      <w:start w:val="1"/>
      <w:numFmt w:val="decimal"/>
      <w:suff w:val="nothing"/>
      <w:lvlText w:val="%1、"/>
      <w:lvlJc w:val="left"/>
    </w:lvl>
  </w:abstractNum>
  <w:abstractNum w:abstractNumId="2">
    <w:nsid w:val="03ECED67"/>
    <w:multiLevelType w:val="singleLevel"/>
    <w:tmpl w:val="03ECED67"/>
    <w:lvl w:ilvl="0" w:tentative="0">
      <w:start w:val="4"/>
      <w:numFmt w:val="decimal"/>
      <w:lvlText w:val="%1."/>
      <w:lvlJc w:val="left"/>
      <w:pPr>
        <w:tabs>
          <w:tab w:val="left" w:pos="312"/>
        </w:tabs>
      </w:pPr>
    </w:lvl>
  </w:abstractNum>
  <w:abstractNum w:abstractNumId="3">
    <w:nsid w:val="3601A173"/>
    <w:multiLevelType w:val="singleLevel"/>
    <w:tmpl w:val="3601A173"/>
    <w:lvl w:ilvl="0" w:tentative="0">
      <w:start w:val="1"/>
      <w:numFmt w:val="chineseCounting"/>
      <w:suff w:val="nothing"/>
      <w:lvlText w:val="%1、"/>
      <w:lvlJc w:val="left"/>
      <w:rPr>
        <w:rFonts w:hint="eastAsia"/>
      </w:rPr>
    </w:lvl>
  </w:abstractNum>
  <w:abstractNum w:abstractNumId="4">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hZTIxNzAxNjQyOTkxN2U1NmM2YWZkODNhNTExYWMifQ=="/>
  </w:docVars>
  <w:rsids>
    <w:rsidRoot w:val="00000000"/>
    <w:rsid w:val="003E405F"/>
    <w:rsid w:val="03414637"/>
    <w:rsid w:val="05425A7A"/>
    <w:rsid w:val="05524363"/>
    <w:rsid w:val="078A790B"/>
    <w:rsid w:val="08B478F4"/>
    <w:rsid w:val="0A7105B9"/>
    <w:rsid w:val="0ACD615D"/>
    <w:rsid w:val="0B0943FD"/>
    <w:rsid w:val="104B091B"/>
    <w:rsid w:val="11E56875"/>
    <w:rsid w:val="141E165C"/>
    <w:rsid w:val="16D41A84"/>
    <w:rsid w:val="19C17094"/>
    <w:rsid w:val="1A141CEC"/>
    <w:rsid w:val="1AD3631C"/>
    <w:rsid w:val="1B2A46E9"/>
    <w:rsid w:val="1E856959"/>
    <w:rsid w:val="20A73592"/>
    <w:rsid w:val="23A85894"/>
    <w:rsid w:val="252C3BA4"/>
    <w:rsid w:val="25602095"/>
    <w:rsid w:val="266767C0"/>
    <w:rsid w:val="29A00400"/>
    <w:rsid w:val="2B2E39E0"/>
    <w:rsid w:val="2DA66298"/>
    <w:rsid w:val="2E8E0FB4"/>
    <w:rsid w:val="30B95BB1"/>
    <w:rsid w:val="31A818A9"/>
    <w:rsid w:val="32D90B72"/>
    <w:rsid w:val="34751F90"/>
    <w:rsid w:val="364F36CD"/>
    <w:rsid w:val="366E7B02"/>
    <w:rsid w:val="3D0605C3"/>
    <w:rsid w:val="3F447BB8"/>
    <w:rsid w:val="412A06C6"/>
    <w:rsid w:val="41357812"/>
    <w:rsid w:val="427355A9"/>
    <w:rsid w:val="44684436"/>
    <w:rsid w:val="473725AA"/>
    <w:rsid w:val="49730E8A"/>
    <w:rsid w:val="4E215F34"/>
    <w:rsid w:val="50B23C59"/>
    <w:rsid w:val="52B00F54"/>
    <w:rsid w:val="546352D8"/>
    <w:rsid w:val="55681261"/>
    <w:rsid w:val="5E04650F"/>
    <w:rsid w:val="5F562123"/>
    <w:rsid w:val="5FF26256"/>
    <w:rsid w:val="62795B30"/>
    <w:rsid w:val="648F3AA8"/>
    <w:rsid w:val="64A907D7"/>
    <w:rsid w:val="64F35B19"/>
    <w:rsid w:val="66DD4F9F"/>
    <w:rsid w:val="701778DC"/>
    <w:rsid w:val="74BF3CFE"/>
    <w:rsid w:val="74EB483D"/>
    <w:rsid w:val="79977C24"/>
    <w:rsid w:val="7A987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spacing w:before="100" w:beforeAutospacing="1" w:after="100" w:afterAutospacing="1"/>
      <w:outlineLvl w:val="1"/>
    </w:pPr>
    <w:rPr>
      <w:rFonts w:ascii="宋体" w:hAnsi="宋体"/>
      <w:b/>
      <w:bCs/>
      <w:kern w:val="0"/>
      <w:sz w:val="36"/>
      <w:szCs w:val="36"/>
    </w:rPr>
  </w:style>
  <w:style w:type="paragraph" w:styleId="5">
    <w:name w:val="heading 4"/>
    <w:basedOn w:val="1"/>
    <w:next w:val="1"/>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szCs w:val="24"/>
    </w:rPr>
  </w:style>
  <w:style w:type="paragraph" w:styleId="6">
    <w:name w:val="annotation text"/>
    <w:basedOn w:val="1"/>
    <w:semiHidden/>
    <w:qFormat/>
    <w:uiPriority w:val="0"/>
    <w:rPr>
      <w:rFonts w:asciiTheme="minorHAnsi" w:hAnsiTheme="minorHAnsi" w:eastAsiaTheme="minorEastAsia" w:cstheme="minorBidi"/>
    </w:rPr>
  </w:style>
  <w:style w:type="paragraph" w:styleId="7">
    <w:name w:val="Body Text"/>
    <w:basedOn w:val="1"/>
    <w:next w:val="8"/>
    <w:semiHidden/>
    <w:unhideWhenUsed/>
    <w:qFormat/>
    <w:uiPriority w:val="99"/>
    <w:pPr>
      <w:spacing w:after="120"/>
    </w:pPr>
  </w:style>
  <w:style w:type="paragraph" w:customStyle="1" w:styleId="8">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9">
    <w:name w:val="Body Text Indent"/>
    <w:basedOn w:val="1"/>
    <w:qFormat/>
    <w:uiPriority w:val="0"/>
    <w:pPr>
      <w:spacing w:line="400" w:lineRule="exact"/>
      <w:ind w:firstLine="435"/>
    </w:pPr>
  </w:style>
  <w:style w:type="paragraph" w:styleId="10">
    <w:name w:val="footer"/>
    <w:basedOn w:val="1"/>
    <w:qFormat/>
    <w:uiPriority w:val="99"/>
    <w:pPr>
      <w:snapToGrid w:val="0"/>
      <w:ind w:right="210" w:rightChars="100"/>
      <w:jc w:val="right"/>
    </w:pPr>
    <w:rPr>
      <w:rFonts w:asciiTheme="minorHAnsi" w:hAnsiTheme="minorHAnsi" w:eastAsiaTheme="minorEastAsia" w:cstheme="minorBidi"/>
      <w:sz w:val="18"/>
      <w:szCs w:val="18"/>
    </w:rPr>
  </w:style>
  <w:style w:type="paragraph" w:styleId="11">
    <w:name w:val="header"/>
    <w:basedOn w:val="1"/>
    <w:qFormat/>
    <w:uiPriority w:val="99"/>
    <w:pPr>
      <w:snapToGrid w:val="0"/>
    </w:pPr>
    <w:rPr>
      <w:rFonts w:asciiTheme="minorHAnsi" w:hAnsiTheme="minorHAnsi" w:eastAsiaTheme="minorEastAsia" w:cstheme="minorBidi"/>
      <w:sz w:val="18"/>
      <w:szCs w:val="18"/>
    </w:rPr>
  </w:style>
  <w:style w:type="paragraph" w:styleId="12">
    <w:name w:val="toc 1"/>
    <w:basedOn w:val="1"/>
    <w:next w:val="1"/>
    <w:semiHidden/>
    <w:qFormat/>
    <w:uiPriority w:val="0"/>
    <w:pPr>
      <w:tabs>
        <w:tab w:val="right" w:leader="dot" w:pos="9242"/>
      </w:tabs>
      <w:spacing w:beforeLines="25" w:afterLines="25"/>
    </w:pPr>
    <w:rPr>
      <w:rFonts w:ascii="宋体"/>
      <w:szCs w:val="21"/>
    </w:rPr>
  </w:style>
  <w:style w:type="paragraph" w:styleId="13">
    <w:name w:val="footnote text"/>
    <w:basedOn w:val="1"/>
    <w:qFormat/>
    <w:uiPriority w:val="0"/>
    <w:pPr>
      <w:tabs>
        <w:tab w:val="left" w:pos="0"/>
      </w:tabs>
      <w:snapToGrid w:val="0"/>
      <w:ind w:left="720" w:hanging="357"/>
    </w:pPr>
    <w:rPr>
      <w:rFonts w:ascii="宋体" w:hAnsiTheme="minorHAnsi" w:eastAsiaTheme="minorEastAsia" w:cstheme="minorBidi"/>
      <w:sz w:val="18"/>
      <w:szCs w:val="18"/>
    </w:rPr>
  </w:style>
  <w:style w:type="paragraph" w:styleId="14">
    <w:name w:val="Body Text Indent 3"/>
    <w:basedOn w:val="1"/>
    <w:qFormat/>
    <w:uiPriority w:val="0"/>
    <w:pPr>
      <w:spacing w:after="120"/>
      <w:ind w:left="420" w:leftChars="200"/>
    </w:pPr>
    <w:rPr>
      <w:sz w:val="16"/>
      <w:szCs w:val="16"/>
    </w:rPr>
  </w:style>
  <w:style w:type="paragraph" w:styleId="15">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16">
    <w:name w:val="Normal (Web)"/>
    <w:basedOn w:val="1"/>
    <w:unhideWhenUsed/>
    <w:qFormat/>
    <w:uiPriority w:val="99"/>
    <w:pPr>
      <w:spacing w:before="100" w:beforeAutospacing="1" w:after="100" w:afterAutospacing="1"/>
    </w:pPr>
    <w:rPr>
      <w:rFonts w:ascii="宋体" w:hAnsi="宋体" w:cs="宋体"/>
      <w:kern w:val="0"/>
      <w:sz w:val="24"/>
    </w:rPr>
  </w:style>
  <w:style w:type="paragraph" w:styleId="17">
    <w:name w:val="Body Text First Indent"/>
    <w:basedOn w:val="7"/>
    <w:qFormat/>
    <w:uiPriority w:val="0"/>
    <w:pPr>
      <w:adjustRightInd w:val="0"/>
      <w:snapToGrid w:val="0"/>
      <w:ind w:firstLine="420"/>
      <w:textAlignment w:val="baseline"/>
    </w:pPr>
    <w:rPr>
      <w:rFonts w:ascii="宋体"/>
      <w:snapToGrid w:val="0"/>
      <w:kern w:val="24"/>
      <w:sz w:val="24"/>
      <w:szCs w:val="20"/>
    </w:rPr>
  </w:style>
  <w:style w:type="paragraph" w:styleId="18">
    <w:name w:val="Body Text First Indent 2"/>
    <w:basedOn w:val="9"/>
    <w:qFormat/>
    <w:uiPriority w:val="0"/>
    <w:pPr>
      <w:spacing w:after="120" w:line="240" w:lineRule="auto"/>
      <w:ind w:left="420" w:firstLine="210"/>
    </w:pPr>
    <w:rPr>
      <w:szCs w:val="20"/>
    </w:rPr>
  </w:style>
  <w:style w:type="table" w:styleId="20">
    <w:name w:val="Table Grid"/>
    <w:basedOn w:val="1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22"/>
    <w:rPr>
      <w:b/>
      <w:bCs/>
    </w:rPr>
  </w:style>
  <w:style w:type="character" w:styleId="23">
    <w:name w:val="Hyperlink"/>
    <w:qFormat/>
    <w:uiPriority w:val="99"/>
    <w:rPr>
      <w:color w:val="0000FF"/>
      <w:spacing w:val="0"/>
      <w:w w:val="100"/>
      <w:szCs w:val="21"/>
      <w:u w:val="single"/>
      <w:lang w:val="en-US" w:eastAsia="zh-CN"/>
    </w:rPr>
  </w:style>
  <w:style w:type="character" w:styleId="24">
    <w:name w:val="footnote reference"/>
    <w:qFormat/>
    <w:uiPriority w:val="0"/>
    <w:rPr>
      <w:vertAlign w:val="superscript"/>
    </w:rPr>
  </w:style>
  <w:style w:type="paragraph" w:customStyle="1" w:styleId="25">
    <w:name w:val="_Style 2"/>
    <w:basedOn w:val="3"/>
    <w:next w:val="1"/>
    <w:qFormat/>
    <w:uiPriority w:val="0"/>
    <w:pPr>
      <w:spacing w:before="480" w:after="0" w:line="276" w:lineRule="auto"/>
      <w:outlineLvl w:val="9"/>
    </w:pPr>
    <w:rPr>
      <w:rFonts w:ascii="Cambria" w:hAnsi="Cambria"/>
      <w:color w:val="365F91"/>
      <w:kern w:val="0"/>
      <w:sz w:val="28"/>
      <w:szCs w:val="28"/>
    </w:rPr>
  </w:style>
  <w:style w:type="paragraph" w:customStyle="1" w:styleId="26">
    <w:name w:val="WPSOffice手动目录 1"/>
    <w:qFormat/>
    <w:uiPriority w:val="0"/>
    <w:pPr>
      <w:ind w:leftChars="0"/>
    </w:pPr>
    <w:rPr>
      <w:rFonts w:ascii="Times New Roman" w:hAnsi="Times New Roman" w:eastAsia="宋体" w:cs="Times New Roman"/>
      <w:sz w:val="20"/>
      <w:szCs w:val="20"/>
    </w:rPr>
  </w:style>
  <w:style w:type="paragraph" w:styleId="27">
    <w:name w:val="List Paragraph"/>
    <w:basedOn w:val="1"/>
    <w:qFormat/>
    <w:uiPriority w:val="34"/>
    <w:pPr>
      <w:ind w:firstLine="420" w:firstLineChars="200"/>
    </w:pPr>
    <w:rPr>
      <w:rFonts w:ascii="宋体" w:hAnsi="宋体" w:cs="宋体"/>
      <w:kern w:val="0"/>
      <w:sz w:val="24"/>
    </w:rPr>
  </w:style>
  <w:style w:type="paragraph" w:customStyle="1" w:styleId="28">
    <w:name w:val="一级条标题"/>
    <w:next w:val="29"/>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paragraph" w:customStyle="1" w:styleId="29">
    <w:name w:val="段"/>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30">
    <w:name w:val="font31"/>
    <w:basedOn w:val="21"/>
    <w:qFormat/>
    <w:uiPriority w:val="0"/>
    <w:rPr>
      <w:rFonts w:hint="eastAsia" w:ascii="宋体" w:hAnsi="宋体" w:eastAsia="宋体" w:cs="宋体"/>
      <w:color w:val="000000"/>
      <w:sz w:val="24"/>
      <w:szCs w:val="24"/>
      <w:u w:val="none"/>
    </w:rPr>
  </w:style>
  <w:style w:type="character" w:customStyle="1" w:styleId="31">
    <w:name w:val="font51"/>
    <w:basedOn w:val="21"/>
    <w:qFormat/>
    <w:uiPriority w:val="0"/>
    <w:rPr>
      <w:rFonts w:hint="default" w:ascii="Times New Roman" w:hAnsi="Times New Roman" w:cs="Times New Roman"/>
      <w:color w:val="000000"/>
      <w:sz w:val="24"/>
      <w:szCs w:val="24"/>
      <w:u w:val="none"/>
    </w:rPr>
  </w:style>
  <w:style w:type="paragraph" w:customStyle="1" w:styleId="3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 w:type="paragraph" w:customStyle="1" w:styleId="34">
    <w:name w:val="WPSOffice手动目录 3"/>
    <w:qFormat/>
    <w:uiPriority w:val="0"/>
    <w:pPr>
      <w:ind w:leftChars="400"/>
    </w:pPr>
    <w:rPr>
      <w:rFonts w:ascii="Times New Roman" w:hAnsi="Times New Roman" w:eastAsia="宋体" w:cs="Times New Roman"/>
      <w:sz w:val="20"/>
      <w:szCs w:val="20"/>
    </w:rPr>
  </w:style>
  <w:style w:type="character" w:customStyle="1" w:styleId="35">
    <w:name w:val="font21"/>
    <w:basedOn w:val="21"/>
    <w:qFormat/>
    <w:uiPriority w:val="0"/>
    <w:rPr>
      <w:rFonts w:ascii="Calibri" w:hAnsi="Calibri" w:cs="Calibri"/>
      <w:color w:val="000000"/>
      <w:sz w:val="24"/>
      <w:szCs w:val="24"/>
      <w:u w:val="none"/>
    </w:rPr>
  </w:style>
  <w:style w:type="character" w:customStyle="1" w:styleId="36">
    <w:name w:val="font11"/>
    <w:basedOn w:val="2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21068</Words>
  <Characters>22573</Characters>
  <Lines>0</Lines>
  <Paragraphs>0</Paragraphs>
  <TotalTime>10</TotalTime>
  <ScaleCrop>false</ScaleCrop>
  <LinksUpToDate>false</LinksUpToDate>
  <CharactersWithSpaces>24123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2022-07-06T05:24:00Z</dcterms:created>
  <dc:creator>lenovo</dc:creator>
  <cp:lastModifiedBy>蔡艳</cp:lastModifiedBy>
  <dcterms:modified xsi:type="dcterms:W3CDTF">2022-11-25T06:55:30Z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220F190B417F48AAAFC9B244587D74E0</vt:lpwstr>
  </property>
</Properties>
</file>