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黑体" w:hAnsi="黑体" w:eastAsia="黑体" w:cs="黑体"/>
          <w:bCs/>
          <w:sz w:val="52"/>
          <w:szCs w:val="52"/>
        </w:rPr>
      </w:pPr>
    </w:p>
    <w:p>
      <w:pPr>
        <w:snapToGrid w:val="0"/>
        <w:spacing w:line="360" w:lineRule="auto"/>
        <w:jc w:val="center"/>
        <w:rPr>
          <w:rFonts w:ascii="黑体" w:hAnsi="黑体" w:eastAsia="黑体" w:cs="黑体"/>
          <w:bCs/>
          <w:sz w:val="52"/>
          <w:szCs w:val="52"/>
        </w:rPr>
      </w:pPr>
      <w:r>
        <w:rPr>
          <w:rFonts w:hint="eastAsia" w:ascii="黑体" w:hAnsi="黑体" w:eastAsia="黑体" w:cs="黑体"/>
          <w:bCs/>
          <w:sz w:val="52"/>
          <w:szCs w:val="52"/>
        </w:rPr>
        <w:t>岳阳城陵矶港务有限责任公司</w:t>
      </w:r>
    </w:p>
    <w:p>
      <w:pPr>
        <w:adjustRightInd w:val="0"/>
        <w:snapToGrid w:val="0"/>
        <w:spacing w:line="360" w:lineRule="auto"/>
        <w:jc w:val="both"/>
        <w:rPr>
          <w:rFonts w:ascii="黑体" w:hAnsi="黑体" w:eastAsia="黑体" w:cs="黑体"/>
          <w:bCs/>
          <w:kern w:val="0"/>
          <w:sz w:val="52"/>
          <w:szCs w:val="52"/>
        </w:rPr>
      </w:pPr>
    </w:p>
    <w:p>
      <w:pPr>
        <w:adjustRightInd w:val="0"/>
        <w:snapToGrid w:val="0"/>
        <w:spacing w:line="360" w:lineRule="auto"/>
        <w:jc w:val="center"/>
        <w:rPr>
          <w:rFonts w:ascii="黑体" w:hAnsi="黑体" w:eastAsia="黑体" w:cs="黑体"/>
          <w:bCs/>
          <w:kern w:val="0"/>
          <w:sz w:val="52"/>
          <w:szCs w:val="52"/>
        </w:rPr>
      </w:pPr>
    </w:p>
    <w:p>
      <w:pPr>
        <w:adjustRightInd w:val="0"/>
        <w:snapToGrid w:val="0"/>
        <w:spacing w:line="360" w:lineRule="auto"/>
        <w:jc w:val="both"/>
        <w:rPr>
          <w:rFonts w:ascii="黑体" w:hAnsi="黑体" w:eastAsia="黑体" w:cs="黑体"/>
          <w:bCs/>
          <w:kern w:val="0"/>
          <w:sz w:val="52"/>
          <w:szCs w:val="52"/>
        </w:rPr>
      </w:pPr>
    </w:p>
    <w:p>
      <w:pPr>
        <w:adjustRightInd w:val="0"/>
        <w:snapToGrid w:val="0"/>
        <w:spacing w:line="360" w:lineRule="auto"/>
        <w:jc w:val="center"/>
        <w:rPr>
          <w:rFonts w:ascii="黑体" w:hAnsi="黑体" w:eastAsia="黑体" w:cs="黑体"/>
          <w:bCs/>
          <w:kern w:val="0"/>
          <w:sz w:val="52"/>
          <w:szCs w:val="52"/>
        </w:rPr>
      </w:pPr>
      <w:r>
        <w:rPr>
          <w:rFonts w:hint="eastAsia" w:ascii="黑体" w:hAnsi="黑体" w:eastAsia="黑体" w:cs="黑体"/>
          <w:bCs/>
          <w:kern w:val="0"/>
          <w:sz w:val="52"/>
          <w:szCs w:val="52"/>
        </w:rPr>
        <w:t>超融合服务器采购项目</w:t>
      </w:r>
      <w:r>
        <w:rPr>
          <w:rFonts w:hint="eastAsia" w:ascii="黑体" w:hAnsi="黑体" w:eastAsia="黑体" w:cs="黑体"/>
          <w:bCs/>
          <w:sz w:val="52"/>
          <w:szCs w:val="52"/>
        </w:rPr>
        <w:t>询价文件</w:t>
      </w:r>
    </w:p>
    <w:p>
      <w:pPr>
        <w:snapToGrid w:val="0"/>
        <w:spacing w:line="480" w:lineRule="auto"/>
        <w:jc w:val="center"/>
        <w:rPr>
          <w:rFonts w:ascii="黑体" w:hAnsi="黑体" w:eastAsia="黑体" w:cs="黑体"/>
          <w:b/>
          <w:bCs/>
          <w:sz w:val="30"/>
          <w:szCs w:val="30"/>
        </w:rPr>
      </w:pPr>
      <w:r>
        <w:rPr>
          <w:rFonts w:hint="eastAsia" w:ascii="黑体" w:hAnsi="黑体" w:eastAsia="黑体" w:cs="黑体"/>
          <w:b/>
          <w:bCs/>
          <w:sz w:val="30"/>
          <w:szCs w:val="30"/>
        </w:rPr>
        <w:t>省港货（2023）年询</w:t>
      </w:r>
      <w:r>
        <w:rPr>
          <w:rFonts w:hint="eastAsia" w:ascii="黑体" w:hAnsi="黑体" w:eastAsia="黑体" w:cs="黑体"/>
          <w:b/>
          <w:bCs/>
          <w:color w:val="000000" w:themeColor="text1"/>
          <w:sz w:val="30"/>
          <w:szCs w:val="30"/>
          <w14:textFill>
            <w14:solidFill>
              <w14:schemeClr w14:val="tx1"/>
            </w14:solidFill>
          </w14:textFill>
        </w:rPr>
        <w:t>第</w:t>
      </w:r>
      <w:r>
        <w:rPr>
          <w:rFonts w:hint="eastAsia" w:ascii="黑体" w:hAnsi="黑体" w:eastAsia="黑体" w:cs="黑体"/>
          <w:b/>
          <w:bCs/>
          <w:color w:val="000000" w:themeColor="text1"/>
          <w:sz w:val="30"/>
          <w:szCs w:val="30"/>
          <w:lang w:val="en-US" w:eastAsia="zh-CN"/>
          <w14:textFill>
            <w14:solidFill>
              <w14:schemeClr w14:val="tx1"/>
            </w14:solidFill>
          </w14:textFill>
        </w:rPr>
        <w:t>6</w:t>
      </w:r>
      <w:r>
        <w:rPr>
          <w:rFonts w:hint="eastAsia" w:ascii="黑体" w:hAnsi="黑体" w:eastAsia="黑体" w:cs="黑体"/>
          <w:b/>
          <w:bCs/>
          <w:color w:val="000000" w:themeColor="text1"/>
          <w:sz w:val="30"/>
          <w:szCs w:val="30"/>
          <w14:textFill>
            <w14:solidFill>
              <w14:schemeClr w14:val="tx1"/>
            </w14:solidFill>
          </w14:textFill>
        </w:rPr>
        <w:t>号[城</w:t>
      </w:r>
      <w:r>
        <w:rPr>
          <w:rFonts w:hint="eastAsia" w:ascii="黑体" w:hAnsi="黑体" w:eastAsia="黑体" w:cs="黑体"/>
          <w:b/>
          <w:bCs/>
          <w:sz w:val="30"/>
          <w:szCs w:val="30"/>
        </w:rPr>
        <w:t>港]</w:t>
      </w:r>
    </w:p>
    <w:p>
      <w:pPr>
        <w:spacing w:line="360" w:lineRule="auto"/>
        <w:jc w:val="both"/>
        <w:rPr>
          <w:rFonts w:ascii="宋体" w:hAnsi="宋体" w:cs="宋体"/>
          <w:b/>
          <w:color w:val="000000"/>
          <w:kern w:val="0"/>
          <w:sz w:val="28"/>
          <w:szCs w:val="28"/>
        </w:rPr>
      </w:pPr>
    </w:p>
    <w:p>
      <w:pPr>
        <w:spacing w:line="360" w:lineRule="auto"/>
        <w:jc w:val="center"/>
        <w:rPr>
          <w:rFonts w:ascii="宋体" w:hAnsi="宋体" w:cs="宋体"/>
          <w:b/>
          <w:color w:val="000000"/>
          <w:kern w:val="0"/>
          <w:sz w:val="28"/>
          <w:szCs w:val="28"/>
        </w:rPr>
      </w:pPr>
    </w:p>
    <w:p>
      <w:pPr>
        <w:pStyle w:val="16"/>
        <w:spacing w:line="360" w:lineRule="auto"/>
      </w:pPr>
    </w:p>
    <w:p>
      <w:pPr>
        <w:pStyle w:val="16"/>
        <w:spacing w:line="360" w:lineRule="auto"/>
      </w:pPr>
    </w:p>
    <w:p>
      <w:pPr>
        <w:pStyle w:val="16"/>
        <w:spacing w:line="360" w:lineRule="auto"/>
      </w:pPr>
    </w:p>
    <w:p>
      <w:pPr>
        <w:spacing w:line="360" w:lineRule="auto"/>
        <w:rPr>
          <w:sz w:val="48"/>
          <w:szCs w:val="48"/>
        </w:rPr>
      </w:pPr>
    </w:p>
    <w:p>
      <w:pPr>
        <w:pStyle w:val="38"/>
      </w:pPr>
    </w:p>
    <w:p>
      <w:pPr>
        <w:pStyle w:val="15"/>
        <w:rPr>
          <w:sz w:val="48"/>
          <w:szCs w:val="48"/>
        </w:rPr>
      </w:pPr>
    </w:p>
    <w:p>
      <w:pPr>
        <w:pStyle w:val="16"/>
      </w:pPr>
    </w:p>
    <w:p>
      <w:pPr>
        <w:tabs>
          <w:tab w:val="left" w:pos="0"/>
          <w:tab w:val="left" w:pos="4185"/>
        </w:tabs>
        <w:spacing w:line="360" w:lineRule="auto"/>
        <w:jc w:val="center"/>
        <w:rPr>
          <w:rFonts w:eastAsia="楷体_GB2312"/>
          <w:b/>
          <w:sz w:val="24"/>
        </w:rPr>
      </w:pPr>
      <w:r>
        <w:rPr>
          <w:rFonts w:hint="eastAsia" w:ascii="黑体" w:hAnsi="黑体" w:eastAsia="黑体"/>
          <w:bCs/>
          <w:sz w:val="44"/>
          <w:szCs w:val="44"/>
        </w:rPr>
        <w:t>二О二三年三月</w:t>
      </w:r>
    </w:p>
    <w:p>
      <w:pPr>
        <w:rPr>
          <w:rFonts w:ascii="黑体" w:hAnsi="黑体" w:eastAsia="黑体"/>
          <w:sz w:val="44"/>
          <w:szCs w:val="44"/>
          <w:lang w:val="zh-CN"/>
        </w:rPr>
      </w:pPr>
      <w:r>
        <w:rPr>
          <w:rFonts w:ascii="黑体" w:hAnsi="黑体" w:eastAsia="黑体"/>
          <w:sz w:val="44"/>
          <w:szCs w:val="44"/>
          <w:lang w:val="zh-CN"/>
        </w:rPr>
        <w:br w:type="page"/>
      </w:r>
    </w:p>
    <w:p>
      <w:pPr>
        <w:pStyle w:val="185"/>
        <w:keepNext w:val="0"/>
        <w:keepLines w:val="0"/>
        <w:widowControl w:val="0"/>
        <w:spacing w:before="0" w:line="360" w:lineRule="auto"/>
        <w:jc w:val="center"/>
        <w:rPr>
          <w:rFonts w:ascii="黑体" w:hAnsi="黑体" w:eastAsia="黑体"/>
          <w:b w:val="0"/>
          <w:color w:val="auto"/>
          <w:sz w:val="44"/>
          <w:szCs w:val="44"/>
          <w:lang w:val="zh-CN"/>
        </w:rPr>
      </w:pPr>
      <w:r>
        <w:rPr>
          <w:rFonts w:ascii="黑体" w:hAnsi="黑体" w:eastAsia="黑体"/>
          <w:b w:val="0"/>
          <w:color w:val="auto"/>
          <w:sz w:val="44"/>
          <w:szCs w:val="44"/>
          <w:lang w:val="zh-CN"/>
        </w:rPr>
        <w:t>目    录</w:t>
      </w:r>
    </w:p>
    <w:p>
      <w:pPr>
        <w:spacing w:line="360" w:lineRule="auto"/>
        <w:jc w:val="center"/>
        <w:rPr>
          <w:rFonts w:eastAsia="华文楷体"/>
          <w:sz w:val="28"/>
          <w:szCs w:val="28"/>
          <w:lang w:val="zh-CN"/>
        </w:rPr>
      </w:pPr>
    </w:p>
    <w:p>
      <w:pPr>
        <w:pStyle w:val="26"/>
        <w:tabs>
          <w:tab w:val="right" w:leader="dot" w:pos="8948"/>
          <w:tab w:val="clear" w:pos="9242"/>
        </w:tabs>
        <w:adjustRightInd w:val="0"/>
        <w:snapToGrid w:val="0"/>
        <w:spacing w:before="78" w:after="78" w:line="360" w:lineRule="auto"/>
        <w:rPr>
          <w:rFonts w:ascii="微软雅黑" w:hAnsi="微软雅黑" w:eastAsia="微软雅黑"/>
          <w:bCs/>
          <w:caps/>
          <w:sz w:val="24"/>
          <w:szCs w:val="24"/>
        </w:rPr>
      </w:pPr>
      <w:r>
        <w:rPr>
          <w:rFonts w:ascii="微软雅黑" w:hAnsi="微软雅黑" w:eastAsia="微软雅黑"/>
          <w:sz w:val="24"/>
          <w:szCs w:val="24"/>
        </w:rPr>
        <w:fldChar w:fldCharType="begin"/>
      </w:r>
      <w:r>
        <w:rPr>
          <w:rFonts w:ascii="微软雅黑" w:hAnsi="微软雅黑" w:eastAsia="微软雅黑"/>
          <w:sz w:val="24"/>
          <w:szCs w:val="24"/>
        </w:rPr>
        <w:instrText xml:space="preserve"> TOC \o "1-3" \h \z \u </w:instrText>
      </w:r>
      <w:r>
        <w:rPr>
          <w:rFonts w:ascii="微软雅黑" w:hAnsi="微软雅黑" w:eastAsia="微软雅黑"/>
          <w:sz w:val="24"/>
          <w:szCs w:val="24"/>
        </w:rPr>
        <w:fldChar w:fldCharType="separate"/>
      </w:r>
      <w:r>
        <w:fldChar w:fldCharType="begin"/>
      </w:r>
      <w:r>
        <w:instrText xml:space="preserve"> HYPERLINK \l "_Toc77254096" </w:instrText>
      </w:r>
      <w:r>
        <w:fldChar w:fldCharType="separate"/>
      </w:r>
      <w:r>
        <w:rPr>
          <w:rStyle w:val="46"/>
          <w:rFonts w:hint="eastAsia" w:ascii="微软雅黑" w:hAnsi="微软雅黑" w:eastAsia="微软雅黑"/>
          <w:sz w:val="24"/>
          <w:szCs w:val="24"/>
        </w:rPr>
        <w:t>第一章</w:t>
      </w:r>
      <w:r>
        <w:rPr>
          <w:rStyle w:val="46"/>
          <w:rFonts w:ascii="微软雅黑" w:hAnsi="微软雅黑" w:eastAsia="微软雅黑"/>
          <w:sz w:val="24"/>
          <w:szCs w:val="24"/>
        </w:rPr>
        <w:t xml:space="preserve">  </w:t>
      </w:r>
      <w:r>
        <w:rPr>
          <w:rStyle w:val="46"/>
          <w:rFonts w:hint="eastAsia" w:ascii="微软雅黑" w:hAnsi="微软雅黑" w:eastAsia="微软雅黑"/>
          <w:sz w:val="24"/>
          <w:szCs w:val="24"/>
        </w:rPr>
        <w:t>采购公告</w:t>
      </w:r>
      <w:r>
        <w:rPr>
          <w:rFonts w:ascii="微软雅黑" w:hAnsi="微软雅黑" w:eastAsia="微软雅黑"/>
          <w:sz w:val="24"/>
          <w:szCs w:val="24"/>
        </w:rPr>
        <w:tab/>
      </w:r>
      <w:r>
        <w:rPr>
          <w:rFonts w:ascii="微软雅黑" w:hAnsi="微软雅黑" w:eastAsia="微软雅黑"/>
          <w:sz w:val="24"/>
          <w:szCs w:val="24"/>
        </w:rPr>
        <w:t>4</w:t>
      </w:r>
      <w:r>
        <w:rPr>
          <w:rFonts w:ascii="微软雅黑" w:hAnsi="微软雅黑" w:eastAsia="微软雅黑"/>
          <w:sz w:val="24"/>
          <w:szCs w:val="24"/>
        </w:rPr>
        <w:fldChar w:fldCharType="end"/>
      </w:r>
    </w:p>
    <w:p>
      <w:pPr>
        <w:pStyle w:val="26"/>
        <w:tabs>
          <w:tab w:val="right" w:leader="dot" w:pos="8948"/>
          <w:tab w:val="clear" w:pos="9242"/>
        </w:tabs>
        <w:adjustRightInd w:val="0"/>
        <w:snapToGrid w:val="0"/>
        <w:spacing w:before="78" w:after="78" w:line="360" w:lineRule="auto"/>
        <w:rPr>
          <w:rFonts w:ascii="微软雅黑" w:hAnsi="微软雅黑" w:eastAsia="微软雅黑"/>
          <w:bCs/>
          <w:caps/>
          <w:sz w:val="24"/>
          <w:szCs w:val="24"/>
        </w:rPr>
      </w:pPr>
      <w:r>
        <w:fldChar w:fldCharType="begin"/>
      </w:r>
      <w:r>
        <w:instrText xml:space="preserve"> HYPERLINK \l "_Toc77254106" </w:instrText>
      </w:r>
      <w:r>
        <w:fldChar w:fldCharType="separate"/>
      </w:r>
      <w:r>
        <w:rPr>
          <w:rStyle w:val="46"/>
          <w:rFonts w:hint="eastAsia" w:ascii="微软雅黑" w:hAnsi="微软雅黑" w:eastAsia="微软雅黑"/>
          <w:sz w:val="24"/>
          <w:szCs w:val="24"/>
        </w:rPr>
        <w:t>第二章</w:t>
      </w:r>
      <w:r>
        <w:rPr>
          <w:rStyle w:val="46"/>
          <w:rFonts w:ascii="微软雅黑" w:hAnsi="微软雅黑" w:eastAsia="微软雅黑"/>
          <w:sz w:val="24"/>
          <w:szCs w:val="24"/>
        </w:rPr>
        <w:t xml:space="preserve">  </w:t>
      </w:r>
      <w:r>
        <w:rPr>
          <w:rStyle w:val="46"/>
          <w:rFonts w:hint="eastAsia" w:ascii="微软雅黑" w:hAnsi="微软雅黑" w:eastAsia="微软雅黑"/>
          <w:sz w:val="24"/>
          <w:szCs w:val="24"/>
        </w:rPr>
        <w:t>供应商须知</w:t>
      </w:r>
      <w:r>
        <w:rPr>
          <w:rFonts w:ascii="微软雅黑" w:hAnsi="微软雅黑" w:eastAsia="微软雅黑"/>
          <w:sz w:val="24"/>
          <w:szCs w:val="24"/>
        </w:rPr>
        <w:tab/>
      </w:r>
      <w:r>
        <w:rPr>
          <w:rFonts w:hint="eastAsia" w:ascii="微软雅黑" w:hAnsi="微软雅黑" w:eastAsia="微软雅黑"/>
          <w:sz w:val="24"/>
          <w:szCs w:val="24"/>
        </w:rPr>
        <w:t>8</w:t>
      </w:r>
      <w:r>
        <w:rPr>
          <w:rFonts w:hint="eastAsia" w:ascii="微软雅黑" w:hAnsi="微软雅黑" w:eastAsia="微软雅黑"/>
          <w:sz w:val="24"/>
          <w:szCs w:val="24"/>
        </w:rPr>
        <w:fldChar w:fldCharType="end"/>
      </w:r>
    </w:p>
    <w:p>
      <w:pPr>
        <w:pStyle w:val="26"/>
        <w:tabs>
          <w:tab w:val="right" w:leader="dot" w:pos="8948"/>
          <w:tab w:val="clear" w:pos="9242"/>
        </w:tabs>
        <w:adjustRightInd w:val="0"/>
        <w:snapToGrid w:val="0"/>
        <w:spacing w:before="78" w:after="78" w:line="360" w:lineRule="auto"/>
        <w:rPr>
          <w:rFonts w:ascii="微软雅黑" w:hAnsi="微软雅黑" w:eastAsia="微软雅黑"/>
          <w:sz w:val="24"/>
          <w:szCs w:val="24"/>
        </w:rPr>
      </w:pPr>
      <w:r>
        <w:fldChar w:fldCharType="begin"/>
      </w:r>
      <w:r>
        <w:instrText xml:space="preserve"> HYPERLINK \l "_Toc77254124" </w:instrText>
      </w:r>
      <w:r>
        <w:fldChar w:fldCharType="separate"/>
      </w:r>
      <w:r>
        <w:rPr>
          <w:rStyle w:val="46"/>
          <w:rFonts w:hint="eastAsia" w:ascii="微软雅黑" w:hAnsi="微软雅黑" w:eastAsia="微软雅黑"/>
          <w:sz w:val="24"/>
          <w:szCs w:val="24"/>
        </w:rPr>
        <w:t>第三章</w:t>
      </w:r>
      <w:r>
        <w:rPr>
          <w:rStyle w:val="46"/>
          <w:rFonts w:ascii="微软雅黑" w:hAnsi="微软雅黑" w:eastAsia="微软雅黑"/>
          <w:sz w:val="24"/>
          <w:szCs w:val="24"/>
        </w:rPr>
        <w:t xml:space="preserve"> </w:t>
      </w:r>
      <w:r>
        <w:rPr>
          <w:rStyle w:val="46"/>
          <w:rFonts w:hint="eastAsia" w:ascii="微软雅黑" w:hAnsi="微软雅黑" w:eastAsia="微软雅黑"/>
          <w:sz w:val="24"/>
          <w:szCs w:val="24"/>
        </w:rPr>
        <w:t>评标办</w:t>
      </w:r>
      <w:bookmarkStart w:id="0" w:name="_Hlt79481237"/>
      <w:bookmarkStart w:id="1" w:name="_Hlt79481238"/>
      <w:r>
        <w:rPr>
          <w:rStyle w:val="46"/>
          <w:rFonts w:hint="eastAsia" w:ascii="微软雅黑" w:hAnsi="微软雅黑" w:eastAsia="微软雅黑"/>
          <w:sz w:val="24"/>
          <w:szCs w:val="24"/>
        </w:rPr>
        <w:t>法</w:t>
      </w:r>
      <w:bookmarkEnd w:id="0"/>
      <w:bookmarkEnd w:id="1"/>
      <w:r>
        <w:rPr>
          <w:rStyle w:val="46"/>
          <w:rFonts w:hint="eastAsia" w:ascii="微软雅黑" w:hAnsi="微软雅黑" w:eastAsia="微软雅黑"/>
          <w:sz w:val="24"/>
          <w:szCs w:val="24"/>
        </w:rPr>
        <w:t>（综合评分法）</w:t>
      </w:r>
      <w:r>
        <w:rPr>
          <w:rFonts w:ascii="微软雅黑" w:hAnsi="微软雅黑" w:eastAsia="微软雅黑"/>
          <w:sz w:val="24"/>
          <w:szCs w:val="24"/>
        </w:rPr>
        <w:tab/>
      </w:r>
      <w:r>
        <w:rPr>
          <w:rFonts w:hint="eastAsia" w:ascii="微软雅黑" w:hAnsi="微软雅黑" w:eastAsia="微软雅黑"/>
          <w:sz w:val="24"/>
          <w:szCs w:val="24"/>
        </w:rPr>
        <w:t>3</w:t>
      </w:r>
      <w:r>
        <w:rPr>
          <w:rFonts w:hint="eastAsia" w:ascii="微软雅黑" w:hAnsi="微软雅黑" w:eastAsia="微软雅黑"/>
          <w:sz w:val="24"/>
          <w:szCs w:val="24"/>
        </w:rPr>
        <w:fldChar w:fldCharType="end"/>
      </w:r>
      <w:r>
        <w:rPr>
          <w:rFonts w:hint="eastAsia" w:ascii="微软雅黑" w:hAnsi="微软雅黑" w:eastAsia="微软雅黑"/>
          <w:sz w:val="24"/>
          <w:szCs w:val="24"/>
        </w:rPr>
        <w:t>1</w:t>
      </w:r>
    </w:p>
    <w:p>
      <w:pPr>
        <w:pStyle w:val="26"/>
        <w:tabs>
          <w:tab w:val="right" w:leader="dot" w:pos="8948"/>
          <w:tab w:val="clear" w:pos="9242"/>
        </w:tabs>
        <w:adjustRightInd w:val="0"/>
        <w:snapToGrid w:val="0"/>
        <w:spacing w:before="78" w:after="78" w:line="360" w:lineRule="auto"/>
        <w:rPr>
          <w:rFonts w:ascii="微软雅黑" w:hAnsi="微软雅黑" w:eastAsia="微软雅黑"/>
          <w:bCs/>
          <w:caps/>
          <w:sz w:val="24"/>
          <w:szCs w:val="24"/>
        </w:rPr>
      </w:pPr>
      <w:r>
        <w:fldChar w:fldCharType="begin"/>
      </w:r>
      <w:r>
        <w:instrText xml:space="preserve"> HYPERLINK \l "_Toc77254138" </w:instrText>
      </w:r>
      <w:r>
        <w:fldChar w:fldCharType="separate"/>
      </w:r>
      <w:r>
        <w:rPr>
          <w:rStyle w:val="46"/>
          <w:rFonts w:hint="eastAsia" w:ascii="微软雅黑" w:hAnsi="微软雅黑" w:eastAsia="微软雅黑"/>
          <w:sz w:val="24"/>
          <w:szCs w:val="24"/>
        </w:rPr>
        <w:t>第四章</w:t>
      </w:r>
      <w:r>
        <w:rPr>
          <w:rStyle w:val="46"/>
          <w:rFonts w:ascii="微软雅黑" w:hAnsi="微软雅黑" w:eastAsia="微软雅黑"/>
          <w:sz w:val="24"/>
          <w:szCs w:val="24"/>
        </w:rPr>
        <w:t xml:space="preserve"> </w:t>
      </w:r>
      <w:r>
        <w:rPr>
          <w:rStyle w:val="46"/>
          <w:rFonts w:hint="eastAsia" w:ascii="微软雅黑" w:hAnsi="微软雅黑" w:eastAsia="微软雅黑"/>
          <w:sz w:val="24"/>
          <w:szCs w:val="24"/>
        </w:rPr>
        <w:t>合同条款及格式</w:t>
      </w:r>
      <w:r>
        <w:rPr>
          <w:rFonts w:ascii="微软雅黑" w:hAnsi="微软雅黑" w:eastAsia="微软雅黑"/>
          <w:sz w:val="24"/>
          <w:szCs w:val="24"/>
        </w:rPr>
        <w:tab/>
      </w:r>
      <w:r>
        <w:rPr>
          <w:rFonts w:hint="eastAsia" w:ascii="微软雅黑" w:hAnsi="微软雅黑" w:eastAsia="微软雅黑"/>
          <w:sz w:val="24"/>
          <w:szCs w:val="24"/>
        </w:rPr>
        <w:t>3</w:t>
      </w:r>
      <w:r>
        <w:rPr>
          <w:rFonts w:hint="eastAsia" w:ascii="微软雅黑" w:hAnsi="微软雅黑" w:eastAsia="微软雅黑"/>
          <w:sz w:val="24"/>
          <w:szCs w:val="24"/>
        </w:rPr>
        <w:fldChar w:fldCharType="end"/>
      </w:r>
      <w:r>
        <w:rPr>
          <w:rFonts w:hint="eastAsia" w:ascii="微软雅黑" w:hAnsi="微软雅黑" w:eastAsia="微软雅黑"/>
          <w:sz w:val="24"/>
          <w:szCs w:val="24"/>
        </w:rPr>
        <w:t>7</w:t>
      </w:r>
    </w:p>
    <w:p>
      <w:pPr>
        <w:pStyle w:val="26"/>
        <w:tabs>
          <w:tab w:val="right" w:leader="dot" w:pos="8948"/>
          <w:tab w:val="clear" w:pos="9242"/>
        </w:tabs>
        <w:adjustRightInd w:val="0"/>
        <w:snapToGrid w:val="0"/>
        <w:spacing w:before="78" w:after="78" w:line="360" w:lineRule="auto"/>
        <w:rPr>
          <w:rFonts w:ascii="微软雅黑" w:hAnsi="微软雅黑" w:eastAsia="微软雅黑"/>
          <w:bCs/>
          <w:caps/>
          <w:sz w:val="24"/>
          <w:szCs w:val="24"/>
        </w:rPr>
      </w:pPr>
      <w:r>
        <w:fldChar w:fldCharType="begin"/>
      </w:r>
      <w:r>
        <w:instrText xml:space="preserve"> HYPERLINK \l "_Toc77254286" </w:instrText>
      </w:r>
      <w:r>
        <w:fldChar w:fldCharType="separate"/>
      </w:r>
      <w:r>
        <w:rPr>
          <w:rStyle w:val="46"/>
          <w:rFonts w:hint="eastAsia" w:ascii="微软雅黑" w:hAnsi="微软雅黑" w:eastAsia="微软雅黑"/>
          <w:sz w:val="24"/>
          <w:szCs w:val="24"/>
        </w:rPr>
        <w:t>第五章</w:t>
      </w:r>
      <w:r>
        <w:rPr>
          <w:rStyle w:val="46"/>
          <w:rFonts w:ascii="微软雅黑" w:hAnsi="微软雅黑" w:eastAsia="微软雅黑"/>
          <w:sz w:val="24"/>
          <w:szCs w:val="24"/>
        </w:rPr>
        <w:t xml:space="preserve"> </w:t>
      </w:r>
      <w:r>
        <w:rPr>
          <w:rStyle w:val="46"/>
          <w:rFonts w:hint="eastAsia" w:ascii="微软雅黑" w:hAnsi="微软雅黑" w:eastAsia="微软雅黑"/>
          <w:sz w:val="24"/>
          <w:szCs w:val="24"/>
        </w:rPr>
        <w:t>采购需求</w:t>
      </w:r>
      <w:r>
        <w:rPr>
          <w:rFonts w:ascii="微软雅黑" w:hAnsi="微软雅黑" w:eastAsia="微软雅黑"/>
          <w:sz w:val="24"/>
          <w:szCs w:val="24"/>
        </w:rPr>
        <w:tab/>
      </w:r>
      <w:r>
        <w:rPr>
          <w:rFonts w:hint="eastAsia" w:ascii="微软雅黑" w:hAnsi="微软雅黑" w:eastAsia="微软雅黑"/>
          <w:sz w:val="24"/>
          <w:szCs w:val="24"/>
        </w:rPr>
        <w:t>38</w:t>
      </w:r>
      <w:r>
        <w:rPr>
          <w:rFonts w:hint="eastAsia" w:ascii="微软雅黑" w:hAnsi="微软雅黑" w:eastAsia="微软雅黑"/>
          <w:sz w:val="24"/>
          <w:szCs w:val="24"/>
        </w:rPr>
        <w:fldChar w:fldCharType="end"/>
      </w:r>
    </w:p>
    <w:p>
      <w:pPr>
        <w:pStyle w:val="26"/>
        <w:tabs>
          <w:tab w:val="right" w:leader="dot" w:pos="8948"/>
          <w:tab w:val="clear" w:pos="9242"/>
        </w:tabs>
        <w:adjustRightInd w:val="0"/>
        <w:snapToGrid w:val="0"/>
        <w:spacing w:before="78" w:after="78" w:line="360" w:lineRule="auto"/>
        <w:rPr>
          <w:rFonts w:ascii="微软雅黑" w:hAnsi="微软雅黑" w:eastAsia="微软雅黑"/>
          <w:bCs/>
          <w:caps/>
          <w:sz w:val="24"/>
          <w:szCs w:val="24"/>
        </w:rPr>
      </w:pPr>
      <w:r>
        <w:fldChar w:fldCharType="begin"/>
      </w:r>
      <w:r>
        <w:instrText xml:space="preserve"> HYPERLINK \l "_Toc77254297" </w:instrText>
      </w:r>
      <w:r>
        <w:fldChar w:fldCharType="separate"/>
      </w:r>
      <w:r>
        <w:rPr>
          <w:rStyle w:val="46"/>
          <w:rFonts w:hint="eastAsia" w:ascii="微软雅黑" w:hAnsi="微软雅黑" w:eastAsia="微软雅黑"/>
          <w:sz w:val="24"/>
          <w:szCs w:val="24"/>
        </w:rPr>
        <w:t>第六章</w:t>
      </w:r>
      <w:r>
        <w:rPr>
          <w:rStyle w:val="46"/>
          <w:rFonts w:ascii="微软雅黑" w:hAnsi="微软雅黑" w:eastAsia="微软雅黑"/>
          <w:sz w:val="24"/>
          <w:szCs w:val="24"/>
        </w:rPr>
        <w:t xml:space="preserve"> </w:t>
      </w:r>
      <w:r>
        <w:rPr>
          <w:rStyle w:val="46"/>
          <w:rFonts w:hint="eastAsia" w:ascii="微软雅黑" w:hAnsi="微软雅黑" w:eastAsia="微软雅黑"/>
          <w:sz w:val="24"/>
          <w:szCs w:val="24"/>
        </w:rPr>
        <w:t>响应文件格式</w:t>
      </w:r>
      <w:r>
        <w:rPr>
          <w:rFonts w:ascii="微软雅黑" w:hAnsi="微软雅黑" w:eastAsia="微软雅黑"/>
          <w:sz w:val="24"/>
          <w:szCs w:val="24"/>
        </w:rPr>
        <w:tab/>
      </w:r>
      <w:r>
        <w:rPr>
          <w:rFonts w:hint="eastAsia" w:ascii="微软雅黑" w:hAnsi="微软雅黑" w:eastAsia="微软雅黑"/>
          <w:sz w:val="24"/>
          <w:szCs w:val="24"/>
        </w:rPr>
        <w:t>39</w:t>
      </w:r>
      <w:r>
        <w:rPr>
          <w:rFonts w:hint="eastAsia" w:ascii="微软雅黑" w:hAnsi="微软雅黑" w:eastAsia="微软雅黑"/>
          <w:sz w:val="24"/>
          <w:szCs w:val="24"/>
        </w:rPr>
        <w:fldChar w:fldCharType="end"/>
      </w:r>
    </w:p>
    <w:p>
      <w:pPr>
        <w:pStyle w:val="32"/>
        <w:tabs>
          <w:tab w:val="right" w:leader="dot" w:pos="8948"/>
        </w:tabs>
        <w:adjustRightInd w:val="0"/>
        <w:snapToGrid w:val="0"/>
        <w:spacing w:line="360" w:lineRule="auto"/>
        <w:rPr>
          <w:rFonts w:ascii="微软雅黑" w:hAnsi="微软雅黑" w:eastAsia="微软雅黑"/>
          <w:smallCaps/>
          <w:sz w:val="24"/>
          <w:szCs w:val="24"/>
        </w:rPr>
      </w:pPr>
      <w:r>
        <w:fldChar w:fldCharType="begin"/>
      </w:r>
      <w:r>
        <w:instrText xml:space="preserve"> HYPERLINK \l "_Toc77254298" </w:instrText>
      </w:r>
      <w:r>
        <w:fldChar w:fldCharType="separate"/>
      </w:r>
      <w:r>
        <w:rPr>
          <w:rStyle w:val="46"/>
          <w:rFonts w:hint="eastAsia" w:ascii="微软雅黑" w:hAnsi="微软雅黑" w:eastAsia="微软雅黑"/>
          <w:sz w:val="24"/>
          <w:szCs w:val="24"/>
        </w:rPr>
        <w:t>一、响应函</w:t>
      </w:r>
      <w:r>
        <w:rPr>
          <w:rFonts w:ascii="微软雅黑" w:hAnsi="微软雅黑" w:eastAsia="微软雅黑"/>
          <w:sz w:val="24"/>
          <w:szCs w:val="24"/>
        </w:rPr>
        <w:tab/>
      </w:r>
      <w:r>
        <w:rPr>
          <w:rFonts w:hint="eastAsia" w:ascii="微软雅黑" w:hAnsi="微软雅黑" w:eastAsia="微软雅黑"/>
          <w:sz w:val="24"/>
          <w:szCs w:val="24"/>
        </w:rPr>
        <w:t>42</w:t>
      </w:r>
      <w:r>
        <w:rPr>
          <w:rFonts w:hint="eastAsia" w:ascii="微软雅黑" w:hAnsi="微软雅黑" w:eastAsia="微软雅黑"/>
          <w:sz w:val="24"/>
          <w:szCs w:val="24"/>
        </w:rPr>
        <w:fldChar w:fldCharType="end"/>
      </w:r>
    </w:p>
    <w:p>
      <w:pPr>
        <w:pStyle w:val="32"/>
        <w:tabs>
          <w:tab w:val="right" w:leader="dot" w:pos="8948"/>
        </w:tabs>
        <w:adjustRightInd w:val="0"/>
        <w:snapToGrid w:val="0"/>
        <w:spacing w:line="360" w:lineRule="auto"/>
        <w:rPr>
          <w:rFonts w:ascii="微软雅黑" w:hAnsi="微软雅黑" w:eastAsia="微软雅黑"/>
          <w:smallCaps/>
          <w:sz w:val="24"/>
          <w:szCs w:val="24"/>
        </w:rPr>
      </w:pPr>
      <w:r>
        <w:fldChar w:fldCharType="begin"/>
      </w:r>
      <w:r>
        <w:instrText xml:space="preserve"> HYPERLINK \l "_Toc77254299" </w:instrText>
      </w:r>
      <w:r>
        <w:fldChar w:fldCharType="separate"/>
      </w:r>
      <w:r>
        <w:rPr>
          <w:rStyle w:val="46"/>
          <w:rFonts w:hint="eastAsia" w:ascii="微软雅黑" w:hAnsi="微软雅黑" w:eastAsia="微软雅黑"/>
          <w:sz w:val="24"/>
          <w:szCs w:val="24"/>
        </w:rPr>
        <w:t>二、授权委托书</w:t>
      </w:r>
      <w:r>
        <w:rPr>
          <w:rFonts w:ascii="微软雅黑" w:hAnsi="微软雅黑" w:eastAsia="微软雅黑"/>
          <w:sz w:val="24"/>
          <w:szCs w:val="24"/>
        </w:rPr>
        <w:tab/>
      </w:r>
      <w:r>
        <w:rPr>
          <w:rFonts w:hint="eastAsia" w:ascii="微软雅黑" w:hAnsi="微软雅黑" w:eastAsia="微软雅黑"/>
          <w:sz w:val="24"/>
          <w:szCs w:val="24"/>
        </w:rPr>
        <w:t>4</w:t>
      </w:r>
      <w:r>
        <w:rPr>
          <w:rFonts w:hint="eastAsia" w:ascii="微软雅黑" w:hAnsi="微软雅黑" w:eastAsia="微软雅黑"/>
          <w:sz w:val="24"/>
          <w:szCs w:val="24"/>
        </w:rPr>
        <w:fldChar w:fldCharType="end"/>
      </w:r>
      <w:r>
        <w:rPr>
          <w:rFonts w:hint="eastAsia" w:ascii="微软雅黑" w:hAnsi="微软雅黑" w:eastAsia="微软雅黑"/>
          <w:sz w:val="24"/>
          <w:szCs w:val="24"/>
        </w:rPr>
        <w:t>5</w:t>
      </w:r>
    </w:p>
    <w:p>
      <w:pPr>
        <w:pStyle w:val="32"/>
        <w:tabs>
          <w:tab w:val="right" w:leader="dot" w:pos="8948"/>
        </w:tabs>
        <w:adjustRightInd w:val="0"/>
        <w:snapToGrid w:val="0"/>
        <w:spacing w:line="360" w:lineRule="auto"/>
        <w:rPr>
          <w:rFonts w:ascii="微软雅黑" w:hAnsi="微软雅黑" w:eastAsia="微软雅黑"/>
          <w:smallCaps/>
          <w:sz w:val="24"/>
          <w:szCs w:val="24"/>
        </w:rPr>
      </w:pPr>
      <w:r>
        <w:fldChar w:fldCharType="begin"/>
      </w:r>
      <w:r>
        <w:instrText xml:space="preserve"> HYPERLINK \l "_Toc77254300" </w:instrText>
      </w:r>
      <w:r>
        <w:fldChar w:fldCharType="separate"/>
      </w:r>
      <w:r>
        <w:rPr>
          <w:rStyle w:val="46"/>
          <w:rFonts w:hint="eastAsia" w:ascii="微软雅黑" w:hAnsi="微软雅黑" w:eastAsia="微软雅黑"/>
          <w:sz w:val="24"/>
          <w:szCs w:val="24"/>
        </w:rPr>
        <w:t>三、响应保证金</w:t>
      </w:r>
      <w:r>
        <w:rPr>
          <w:rFonts w:ascii="微软雅黑" w:hAnsi="微软雅黑" w:eastAsia="微软雅黑"/>
          <w:sz w:val="24"/>
          <w:szCs w:val="24"/>
        </w:rPr>
        <w:tab/>
      </w:r>
      <w:r>
        <w:rPr>
          <w:rFonts w:hint="eastAsia" w:ascii="微软雅黑" w:hAnsi="微软雅黑" w:eastAsia="微软雅黑"/>
          <w:sz w:val="24"/>
          <w:szCs w:val="24"/>
        </w:rPr>
        <w:t>4</w:t>
      </w:r>
      <w:r>
        <w:rPr>
          <w:rFonts w:hint="eastAsia" w:ascii="微软雅黑" w:hAnsi="微软雅黑" w:eastAsia="微软雅黑"/>
          <w:sz w:val="24"/>
          <w:szCs w:val="24"/>
        </w:rPr>
        <w:fldChar w:fldCharType="end"/>
      </w:r>
      <w:r>
        <w:rPr>
          <w:rFonts w:hint="eastAsia" w:ascii="微软雅黑" w:hAnsi="微软雅黑" w:eastAsia="微软雅黑"/>
          <w:sz w:val="24"/>
          <w:szCs w:val="24"/>
        </w:rPr>
        <w:t>6</w:t>
      </w:r>
    </w:p>
    <w:p>
      <w:pPr>
        <w:pStyle w:val="32"/>
        <w:tabs>
          <w:tab w:val="right" w:leader="dot" w:pos="8948"/>
        </w:tabs>
        <w:adjustRightInd w:val="0"/>
        <w:snapToGrid w:val="0"/>
        <w:spacing w:line="360" w:lineRule="auto"/>
        <w:rPr>
          <w:rFonts w:ascii="微软雅黑" w:hAnsi="微软雅黑" w:eastAsia="微软雅黑"/>
          <w:smallCaps/>
          <w:sz w:val="24"/>
          <w:szCs w:val="24"/>
        </w:rPr>
      </w:pPr>
      <w:r>
        <w:fldChar w:fldCharType="begin"/>
      </w:r>
      <w:r>
        <w:instrText xml:space="preserve"> HYPERLINK \l "_Toc77254302" </w:instrText>
      </w:r>
      <w:r>
        <w:fldChar w:fldCharType="separate"/>
      </w:r>
      <w:r>
        <w:rPr>
          <w:rStyle w:val="46"/>
          <w:rFonts w:hint="eastAsia" w:ascii="微软雅黑" w:hAnsi="微软雅黑" w:eastAsia="微软雅黑"/>
          <w:sz w:val="24"/>
          <w:szCs w:val="24"/>
        </w:rPr>
        <w:t>四、商务和技术偏差表</w:t>
      </w:r>
      <w:r>
        <w:rPr>
          <w:rFonts w:ascii="微软雅黑" w:hAnsi="微软雅黑" w:eastAsia="微软雅黑"/>
          <w:sz w:val="24"/>
          <w:szCs w:val="24"/>
        </w:rPr>
        <w:tab/>
      </w:r>
      <w:r>
        <w:rPr>
          <w:rFonts w:hint="eastAsia" w:ascii="微软雅黑" w:hAnsi="微软雅黑" w:eastAsia="微软雅黑"/>
          <w:sz w:val="24"/>
          <w:szCs w:val="24"/>
        </w:rPr>
        <w:t>47</w:t>
      </w:r>
      <w:r>
        <w:rPr>
          <w:rFonts w:hint="eastAsia" w:ascii="微软雅黑" w:hAnsi="微软雅黑" w:eastAsia="微软雅黑"/>
          <w:sz w:val="24"/>
          <w:szCs w:val="24"/>
        </w:rPr>
        <w:fldChar w:fldCharType="end"/>
      </w:r>
    </w:p>
    <w:p>
      <w:pPr>
        <w:pStyle w:val="32"/>
        <w:tabs>
          <w:tab w:val="right" w:leader="dot" w:pos="8948"/>
        </w:tabs>
        <w:adjustRightInd w:val="0"/>
        <w:snapToGrid w:val="0"/>
        <w:spacing w:line="360" w:lineRule="auto"/>
        <w:rPr>
          <w:rFonts w:ascii="微软雅黑" w:hAnsi="微软雅黑" w:eastAsia="微软雅黑"/>
          <w:smallCaps/>
          <w:sz w:val="24"/>
          <w:szCs w:val="24"/>
        </w:rPr>
      </w:pPr>
      <w:r>
        <w:fldChar w:fldCharType="begin"/>
      </w:r>
      <w:r>
        <w:instrText xml:space="preserve"> HYPERLINK \l "_Toc77254304" </w:instrText>
      </w:r>
      <w:r>
        <w:fldChar w:fldCharType="separate"/>
      </w:r>
      <w:r>
        <w:rPr>
          <w:rStyle w:val="46"/>
          <w:rFonts w:hint="eastAsia" w:ascii="微软雅黑" w:hAnsi="微软雅黑" w:eastAsia="微软雅黑"/>
          <w:sz w:val="24"/>
          <w:szCs w:val="24"/>
        </w:rPr>
        <w:t>五、报价表</w:t>
      </w:r>
      <w:r>
        <w:rPr>
          <w:rFonts w:ascii="微软雅黑" w:hAnsi="微软雅黑" w:eastAsia="微软雅黑"/>
          <w:sz w:val="24"/>
          <w:szCs w:val="24"/>
        </w:rPr>
        <w:tab/>
      </w:r>
      <w:r>
        <w:rPr>
          <w:rFonts w:hint="eastAsia" w:ascii="微软雅黑" w:hAnsi="微软雅黑" w:eastAsia="微软雅黑"/>
          <w:sz w:val="24"/>
          <w:szCs w:val="24"/>
        </w:rPr>
        <w:t>48</w:t>
      </w:r>
      <w:r>
        <w:rPr>
          <w:rFonts w:hint="eastAsia" w:ascii="微软雅黑" w:hAnsi="微软雅黑" w:eastAsia="微软雅黑"/>
          <w:sz w:val="24"/>
          <w:szCs w:val="24"/>
        </w:rPr>
        <w:fldChar w:fldCharType="end"/>
      </w:r>
    </w:p>
    <w:p>
      <w:pPr>
        <w:pStyle w:val="32"/>
        <w:tabs>
          <w:tab w:val="right" w:leader="dot" w:pos="8948"/>
        </w:tabs>
        <w:adjustRightInd w:val="0"/>
        <w:snapToGrid w:val="0"/>
        <w:spacing w:line="360" w:lineRule="auto"/>
        <w:rPr>
          <w:rFonts w:ascii="微软雅黑" w:hAnsi="微软雅黑" w:eastAsia="微软雅黑"/>
          <w:smallCaps/>
          <w:sz w:val="24"/>
          <w:szCs w:val="24"/>
        </w:rPr>
      </w:pPr>
      <w:r>
        <w:fldChar w:fldCharType="begin"/>
      </w:r>
      <w:r>
        <w:instrText xml:space="preserve"> HYPERLINK \l "_Toc77254308" </w:instrText>
      </w:r>
      <w:r>
        <w:fldChar w:fldCharType="separate"/>
      </w:r>
      <w:r>
        <w:rPr>
          <w:rStyle w:val="46"/>
          <w:rFonts w:hint="eastAsia" w:ascii="微软雅黑" w:hAnsi="微软雅黑" w:eastAsia="微软雅黑"/>
          <w:sz w:val="24"/>
          <w:szCs w:val="24"/>
        </w:rPr>
        <w:t>六、资格审查资料</w:t>
      </w:r>
      <w:r>
        <w:rPr>
          <w:rFonts w:ascii="微软雅黑" w:hAnsi="微软雅黑" w:eastAsia="微软雅黑"/>
          <w:sz w:val="24"/>
          <w:szCs w:val="24"/>
        </w:rPr>
        <w:tab/>
      </w:r>
      <w:r>
        <w:rPr>
          <w:rFonts w:hint="eastAsia" w:ascii="微软雅黑" w:hAnsi="微软雅黑" w:eastAsia="微软雅黑"/>
          <w:sz w:val="24"/>
          <w:szCs w:val="24"/>
        </w:rPr>
        <w:t>51</w:t>
      </w:r>
      <w:r>
        <w:rPr>
          <w:rFonts w:hint="eastAsia" w:ascii="微软雅黑" w:hAnsi="微软雅黑" w:eastAsia="微软雅黑"/>
          <w:sz w:val="24"/>
          <w:szCs w:val="24"/>
        </w:rPr>
        <w:fldChar w:fldCharType="end"/>
      </w:r>
    </w:p>
    <w:p>
      <w:pPr>
        <w:pStyle w:val="32"/>
        <w:tabs>
          <w:tab w:val="right" w:leader="dot" w:pos="8948"/>
        </w:tabs>
        <w:adjustRightInd w:val="0"/>
        <w:snapToGrid w:val="0"/>
        <w:spacing w:line="360" w:lineRule="auto"/>
        <w:rPr>
          <w:rFonts w:ascii="微软雅黑" w:hAnsi="微软雅黑" w:eastAsia="微软雅黑"/>
          <w:smallCaps/>
          <w:sz w:val="24"/>
          <w:szCs w:val="24"/>
        </w:rPr>
      </w:pPr>
      <w:r>
        <w:fldChar w:fldCharType="begin"/>
      </w:r>
      <w:r>
        <w:instrText xml:space="preserve"> HYPERLINK \l "_Toc77254309" </w:instrText>
      </w:r>
      <w:r>
        <w:fldChar w:fldCharType="separate"/>
      </w:r>
      <w:r>
        <w:rPr>
          <w:rStyle w:val="46"/>
          <w:rFonts w:hint="eastAsia" w:ascii="微软雅黑" w:hAnsi="微软雅黑" w:eastAsia="微软雅黑"/>
          <w:sz w:val="24"/>
          <w:szCs w:val="24"/>
        </w:rPr>
        <w:t>七、响应方案</w:t>
      </w:r>
      <w:r>
        <w:rPr>
          <w:rFonts w:ascii="微软雅黑" w:hAnsi="微软雅黑" w:eastAsia="微软雅黑"/>
          <w:sz w:val="24"/>
          <w:szCs w:val="24"/>
        </w:rPr>
        <w:tab/>
      </w:r>
      <w:r>
        <w:rPr>
          <w:rFonts w:hint="eastAsia" w:ascii="微软雅黑" w:hAnsi="微软雅黑" w:eastAsia="微软雅黑"/>
          <w:sz w:val="24"/>
          <w:szCs w:val="24"/>
        </w:rPr>
        <w:t>58</w:t>
      </w:r>
      <w:r>
        <w:rPr>
          <w:rFonts w:hint="eastAsia" w:ascii="微软雅黑" w:hAnsi="微软雅黑" w:eastAsia="微软雅黑"/>
          <w:sz w:val="24"/>
          <w:szCs w:val="24"/>
        </w:rPr>
        <w:fldChar w:fldCharType="end"/>
      </w:r>
    </w:p>
    <w:p>
      <w:pPr>
        <w:pStyle w:val="32"/>
        <w:tabs>
          <w:tab w:val="right" w:leader="dot" w:pos="8948"/>
        </w:tabs>
        <w:adjustRightInd w:val="0"/>
        <w:snapToGrid w:val="0"/>
        <w:spacing w:line="360" w:lineRule="auto"/>
        <w:rPr>
          <w:rFonts w:ascii="微软雅黑" w:hAnsi="微软雅黑" w:eastAsia="微软雅黑"/>
          <w:smallCaps/>
          <w:sz w:val="24"/>
          <w:szCs w:val="24"/>
        </w:rPr>
      </w:pPr>
      <w:r>
        <w:fldChar w:fldCharType="begin"/>
      </w:r>
      <w:r>
        <w:instrText xml:space="preserve"> HYPERLINK \l "_Toc77254310" </w:instrText>
      </w:r>
      <w:r>
        <w:fldChar w:fldCharType="separate"/>
      </w:r>
      <w:r>
        <w:rPr>
          <w:rStyle w:val="46"/>
          <w:rFonts w:hint="eastAsia" w:ascii="微软雅黑" w:hAnsi="微软雅黑" w:eastAsia="微软雅黑"/>
          <w:sz w:val="24"/>
          <w:szCs w:val="24"/>
        </w:rPr>
        <w:t>八、其他资料</w:t>
      </w:r>
      <w:r>
        <w:rPr>
          <w:rFonts w:ascii="微软雅黑" w:hAnsi="微软雅黑" w:eastAsia="微软雅黑"/>
          <w:sz w:val="24"/>
          <w:szCs w:val="24"/>
        </w:rPr>
        <w:tab/>
      </w:r>
      <w:r>
        <w:rPr>
          <w:rFonts w:hint="eastAsia" w:ascii="微软雅黑" w:hAnsi="微软雅黑" w:eastAsia="微软雅黑"/>
          <w:sz w:val="24"/>
          <w:szCs w:val="24"/>
        </w:rPr>
        <w:t>61</w:t>
      </w:r>
      <w:r>
        <w:rPr>
          <w:rFonts w:hint="eastAsia" w:ascii="微软雅黑" w:hAnsi="微软雅黑" w:eastAsia="微软雅黑"/>
          <w:sz w:val="24"/>
          <w:szCs w:val="24"/>
        </w:rPr>
        <w:fldChar w:fldCharType="end"/>
      </w:r>
    </w:p>
    <w:p>
      <w:pPr>
        <w:pStyle w:val="26"/>
        <w:widowControl w:val="0"/>
        <w:tabs>
          <w:tab w:val="right" w:leader="dot" w:pos="8948"/>
          <w:tab w:val="clear" w:pos="9242"/>
        </w:tabs>
        <w:adjustRightInd w:val="0"/>
        <w:snapToGrid w:val="0"/>
        <w:spacing w:before="78" w:after="78" w:line="360" w:lineRule="auto"/>
        <w:rPr>
          <w:rFonts w:ascii="Times New Roman"/>
          <w:sz w:val="24"/>
          <w:szCs w:val="24"/>
        </w:rPr>
      </w:pPr>
      <w:r>
        <w:rPr>
          <w:rFonts w:ascii="微软雅黑" w:hAnsi="微软雅黑" w:eastAsia="微软雅黑"/>
          <w:sz w:val="24"/>
          <w:szCs w:val="24"/>
          <w:lang w:val="zh-CN"/>
        </w:rPr>
        <w:fldChar w:fldCharType="end"/>
      </w:r>
    </w:p>
    <w:p>
      <w:pPr>
        <w:widowControl w:val="0"/>
        <w:adjustRightInd w:val="0"/>
        <w:snapToGrid w:val="0"/>
        <w:spacing w:line="360" w:lineRule="auto"/>
        <w:ind w:firstLine="420" w:firstLineChars="200"/>
        <w:rPr>
          <w:szCs w:val="21"/>
        </w:rPr>
      </w:pPr>
    </w:p>
    <w:p>
      <w:pPr>
        <w:widowControl w:val="0"/>
        <w:adjustRightInd w:val="0"/>
        <w:snapToGrid w:val="0"/>
        <w:spacing w:line="360" w:lineRule="auto"/>
        <w:ind w:firstLine="420" w:firstLineChars="200"/>
        <w:rPr>
          <w:szCs w:val="21"/>
        </w:rPr>
      </w:pPr>
    </w:p>
    <w:p>
      <w:pPr>
        <w:widowControl w:val="0"/>
        <w:adjustRightInd w:val="0"/>
        <w:snapToGrid w:val="0"/>
        <w:spacing w:line="360" w:lineRule="auto"/>
        <w:ind w:firstLine="420" w:firstLineChars="200"/>
        <w:rPr>
          <w:szCs w:val="21"/>
        </w:rPr>
      </w:pPr>
    </w:p>
    <w:p>
      <w:pPr>
        <w:widowControl w:val="0"/>
        <w:adjustRightInd w:val="0"/>
        <w:snapToGrid w:val="0"/>
        <w:spacing w:line="360" w:lineRule="auto"/>
        <w:rPr>
          <w:szCs w:val="21"/>
        </w:rPr>
      </w:pPr>
    </w:p>
    <w:p>
      <w:pPr>
        <w:rPr>
          <w:rFonts w:ascii="黑体" w:hAnsi="黑体" w:eastAsia="黑体" w:cs="仿宋"/>
          <w:b/>
          <w:color w:val="000000"/>
          <w:sz w:val="44"/>
          <w:szCs w:val="44"/>
        </w:rPr>
      </w:pPr>
      <w:r>
        <w:rPr>
          <w:rFonts w:hint="eastAsia" w:ascii="黑体" w:hAnsi="黑体" w:eastAsia="黑体" w:cs="仿宋"/>
          <w:b/>
          <w:color w:val="000000"/>
          <w:sz w:val="44"/>
          <w:szCs w:val="44"/>
        </w:rPr>
        <w:br w:type="page"/>
      </w:r>
    </w:p>
    <w:p>
      <w:pPr>
        <w:pStyle w:val="75"/>
        <w:numPr>
          <w:ilvl w:val="0"/>
          <w:numId w:val="1"/>
        </w:numPr>
        <w:spacing w:line="360" w:lineRule="auto"/>
        <w:ind w:firstLineChars="0"/>
        <w:jc w:val="center"/>
        <w:rPr>
          <w:rFonts w:ascii="黑体" w:hAnsi="黑体" w:eastAsia="黑体" w:cs="仿宋"/>
          <w:b/>
          <w:color w:val="000000"/>
          <w:sz w:val="44"/>
          <w:szCs w:val="44"/>
        </w:rPr>
      </w:pPr>
      <w:r>
        <w:rPr>
          <w:rFonts w:hint="eastAsia" w:ascii="黑体" w:hAnsi="黑体" w:eastAsia="黑体" w:cs="仿宋"/>
          <w:b/>
          <w:color w:val="000000"/>
          <w:sz w:val="44"/>
          <w:szCs w:val="44"/>
        </w:rPr>
        <w:t>采购公告</w:t>
      </w:r>
    </w:p>
    <w:p>
      <w:pPr>
        <w:pStyle w:val="75"/>
        <w:spacing w:line="360" w:lineRule="auto"/>
        <w:ind w:left="1785" w:firstLine="0" w:firstLineChars="0"/>
        <w:rPr>
          <w:rFonts w:ascii="黑体" w:hAnsi="黑体" w:eastAsia="黑体" w:cs="仿宋"/>
          <w:b/>
          <w:color w:val="000000"/>
          <w:sz w:val="21"/>
          <w:szCs w:val="21"/>
        </w:rPr>
      </w:pPr>
    </w:p>
    <w:p>
      <w:pPr>
        <w:pStyle w:val="34"/>
        <w:spacing w:before="0" w:beforeAutospacing="0" w:after="0" w:afterAutospacing="0" w:line="360" w:lineRule="auto"/>
        <w:jc w:val="center"/>
        <w:rPr>
          <w:rFonts w:ascii="黑体" w:hAnsi="黑体" w:eastAsia="黑体" w:cs="黑体"/>
          <w:sz w:val="32"/>
          <w:szCs w:val="32"/>
        </w:rPr>
      </w:pPr>
      <w:r>
        <w:rPr>
          <w:rFonts w:hint="eastAsia" w:ascii="黑体" w:hAnsi="黑体" w:eastAsia="黑体" w:cs="黑体"/>
          <w:sz w:val="32"/>
          <w:szCs w:val="32"/>
        </w:rPr>
        <w:t>岳阳城陵矶港务有限责任公司超融合服务器采购询价公告</w:t>
      </w:r>
    </w:p>
    <w:p>
      <w:pPr>
        <w:pStyle w:val="34"/>
        <w:spacing w:before="0" w:beforeAutospacing="0" w:after="0" w:afterAutospacing="0" w:line="360" w:lineRule="auto"/>
        <w:ind w:firstLine="2880" w:firstLineChars="1200"/>
        <w:jc w:val="both"/>
      </w:pPr>
      <w:r>
        <w:rPr>
          <w:rFonts w:hint="eastAsia"/>
        </w:rPr>
        <w:t xml:space="preserve"> </w:t>
      </w:r>
    </w:p>
    <w:p>
      <w:pPr>
        <w:autoSpaceDE w:val="0"/>
        <w:spacing w:line="360" w:lineRule="auto"/>
        <w:jc w:val="both"/>
        <w:rPr>
          <w:rFonts w:ascii="宋体" w:hAnsi="宋体"/>
          <w:sz w:val="24"/>
        </w:rPr>
      </w:pPr>
      <w:r>
        <w:rPr>
          <w:rFonts w:hint="eastAsia" w:ascii="宋体" w:hAnsi="宋体"/>
        </w:rPr>
        <w:t xml:space="preserve">  </w:t>
      </w:r>
      <w:r>
        <w:rPr>
          <w:rFonts w:hint="eastAsia" w:ascii="宋体" w:hAnsi="宋体"/>
          <w:sz w:val="24"/>
        </w:rPr>
        <w:t xml:space="preserve"> </w:t>
      </w:r>
      <w:r>
        <w:rPr>
          <w:rFonts w:hint="eastAsia" w:ascii="宋体" w:hAnsi="宋体" w:cs="宋体"/>
          <w:color w:val="000000"/>
          <w:kern w:val="0"/>
          <w:sz w:val="24"/>
        </w:rPr>
        <w:t>岳阳城陵矶港务有限责任公司码头设备需要采购一批超融合服务器，</w:t>
      </w:r>
      <w:r>
        <w:rPr>
          <w:rFonts w:hint="eastAsia" w:ascii="宋体" w:hAnsi="宋体" w:cs="宋体"/>
          <w:sz w:val="24"/>
        </w:rPr>
        <w:t>经湖南省港务集团有限公司批准现进行询价采购。</w:t>
      </w:r>
      <w:r>
        <w:rPr>
          <w:rFonts w:hint="eastAsia" w:ascii="宋体" w:hAnsi="宋体"/>
          <w:sz w:val="24"/>
        </w:rPr>
        <w:t xml:space="preserve">已具备采购条件，现公开邀请供应商参加采购活动。 </w:t>
      </w:r>
    </w:p>
    <w:p>
      <w:pPr>
        <w:pStyle w:val="6"/>
        <w:spacing w:line="360" w:lineRule="auto"/>
        <w:jc w:val="both"/>
        <w:rPr>
          <w:rFonts w:ascii="黑体" w:hAnsi="黑体"/>
          <w:highlight w:val="none"/>
        </w:rPr>
      </w:pPr>
      <w:r>
        <w:rPr>
          <w:rFonts w:hint="eastAsia"/>
        </w:rPr>
        <w:t xml:space="preserve">1 </w:t>
      </w:r>
      <w:r>
        <w:rPr>
          <w:rFonts w:hint="eastAsia" w:ascii="黑体" w:hAnsi="黑体"/>
        </w:rPr>
        <w:t xml:space="preserve">采购项目简介 </w:t>
      </w:r>
    </w:p>
    <w:p>
      <w:pPr>
        <w:autoSpaceDE w:val="0"/>
        <w:spacing w:line="360" w:lineRule="auto"/>
        <w:jc w:val="both"/>
        <w:rPr>
          <w:rFonts w:ascii="宋体" w:hAnsi="宋体"/>
          <w:sz w:val="24"/>
          <w:highlight w:val="none"/>
        </w:rPr>
      </w:pPr>
      <w:r>
        <w:rPr>
          <w:rFonts w:hint="eastAsia" w:ascii="宋体" w:hAnsi="宋体"/>
          <w:b/>
          <w:bCs/>
          <w:sz w:val="24"/>
          <w:highlight w:val="none"/>
        </w:rPr>
        <w:t>1.1</w:t>
      </w:r>
      <w:r>
        <w:rPr>
          <w:rFonts w:hint="eastAsia" w:ascii="宋体" w:hAnsi="宋体"/>
          <w:sz w:val="24"/>
          <w:highlight w:val="none"/>
        </w:rPr>
        <w:t>采购项目名称:岳阳城陵矶港务有限责任公司超融合服务器采购</w:t>
      </w:r>
    </w:p>
    <w:p>
      <w:pPr>
        <w:autoSpaceDE w:val="0"/>
        <w:spacing w:line="360" w:lineRule="auto"/>
        <w:jc w:val="both"/>
        <w:rPr>
          <w:rFonts w:ascii="宋体" w:hAnsi="宋体"/>
          <w:sz w:val="24"/>
          <w:highlight w:val="none"/>
        </w:rPr>
      </w:pPr>
      <w:r>
        <w:rPr>
          <w:rFonts w:hint="eastAsia" w:ascii="宋体" w:hAnsi="宋体"/>
          <w:b/>
          <w:bCs/>
          <w:sz w:val="24"/>
          <w:highlight w:val="none"/>
        </w:rPr>
        <w:t xml:space="preserve">1.2 </w:t>
      </w:r>
      <w:r>
        <w:rPr>
          <w:rFonts w:hint="eastAsia" w:ascii="宋体" w:hAnsi="宋体"/>
          <w:sz w:val="24"/>
          <w:highlight w:val="none"/>
        </w:rPr>
        <w:t>采购人: 岳阳城陵矶港务有限责任公司</w:t>
      </w:r>
    </w:p>
    <w:p>
      <w:pPr>
        <w:autoSpaceDE w:val="0"/>
        <w:spacing w:line="360" w:lineRule="auto"/>
        <w:jc w:val="both"/>
        <w:rPr>
          <w:rFonts w:ascii="宋体" w:hAnsi="宋体"/>
          <w:sz w:val="24"/>
          <w:highlight w:val="none"/>
        </w:rPr>
      </w:pPr>
      <w:r>
        <w:rPr>
          <w:rFonts w:hint="eastAsia" w:ascii="宋体" w:hAnsi="宋体"/>
          <w:b/>
          <w:bCs/>
          <w:sz w:val="24"/>
          <w:highlight w:val="none"/>
        </w:rPr>
        <w:t>1.3</w:t>
      </w:r>
      <w:r>
        <w:rPr>
          <w:rFonts w:hint="eastAsia" w:ascii="宋体" w:hAnsi="宋体"/>
          <w:sz w:val="24"/>
          <w:highlight w:val="none"/>
        </w:rPr>
        <w:t xml:space="preserve"> 采购代理机构:无</w:t>
      </w:r>
    </w:p>
    <w:p>
      <w:pPr>
        <w:autoSpaceDE w:val="0"/>
        <w:spacing w:line="360" w:lineRule="auto"/>
        <w:jc w:val="both"/>
        <w:rPr>
          <w:rFonts w:ascii="宋体" w:hAnsi="宋体"/>
          <w:sz w:val="24"/>
          <w:highlight w:val="none"/>
        </w:rPr>
      </w:pPr>
      <w:r>
        <w:rPr>
          <w:rFonts w:hint="eastAsia" w:ascii="宋体" w:hAnsi="宋体"/>
          <w:b/>
          <w:bCs/>
          <w:sz w:val="24"/>
          <w:highlight w:val="none"/>
        </w:rPr>
        <w:t xml:space="preserve">1.4 </w:t>
      </w:r>
      <w:r>
        <w:rPr>
          <w:rFonts w:hint="eastAsia" w:ascii="宋体" w:hAnsi="宋体"/>
          <w:sz w:val="24"/>
          <w:highlight w:val="none"/>
        </w:rPr>
        <w:t>采购项目资金落实情况:已落实</w:t>
      </w:r>
    </w:p>
    <w:p>
      <w:pPr>
        <w:autoSpaceDE w:val="0"/>
        <w:spacing w:line="360" w:lineRule="auto"/>
        <w:jc w:val="both"/>
        <w:rPr>
          <w:rFonts w:ascii="宋体" w:hAnsi="宋体"/>
          <w:sz w:val="24"/>
          <w:highlight w:val="none"/>
        </w:rPr>
      </w:pPr>
      <w:r>
        <w:rPr>
          <w:rFonts w:hint="eastAsia" w:ascii="宋体" w:hAnsi="宋体"/>
          <w:b/>
          <w:bCs/>
          <w:sz w:val="24"/>
          <w:highlight w:val="none"/>
        </w:rPr>
        <w:t xml:space="preserve">1.5 </w:t>
      </w:r>
      <w:r>
        <w:rPr>
          <w:rFonts w:hint="eastAsia" w:ascii="宋体" w:hAnsi="宋体"/>
          <w:sz w:val="24"/>
          <w:highlight w:val="none"/>
        </w:rPr>
        <w:t>采购项目概况: 岳阳城陵矶港务有限责任公司(以下简称城港公司)大力推进“四化”项目建设，紧紧围绕“减员降本增效”，着力改造生产现场和操作工艺。随着生产管理（件杂）系统、财务系统、OA办公系统、皮带机控制系统、装车机控制系统、铁路调度系统等核心系统陆续上线投入使用，业务信息化程度越来越高，而后台服务器、数据存储、网络交换、信息安全等配套设备长期未更新投入，现已面临极大的压力。按照集团信息化统一规划，遵循应用系统分级管理原则，本次设备采购服务于城港公司现场生产。</w:t>
      </w:r>
    </w:p>
    <w:p>
      <w:pPr>
        <w:pStyle w:val="6"/>
        <w:spacing w:line="360" w:lineRule="auto"/>
        <w:jc w:val="both"/>
        <w:rPr>
          <w:rFonts w:ascii="黑体" w:hAnsi="黑体"/>
          <w:highlight w:val="none"/>
        </w:rPr>
      </w:pPr>
      <w:r>
        <w:rPr>
          <w:rFonts w:hint="eastAsia"/>
          <w:highlight w:val="none"/>
        </w:rPr>
        <w:t>2</w:t>
      </w:r>
      <w:r>
        <w:rPr>
          <w:highlight w:val="none"/>
        </w:rPr>
        <w:t xml:space="preserve"> </w:t>
      </w:r>
      <w:r>
        <w:rPr>
          <w:rFonts w:hint="eastAsia" w:ascii="黑体" w:hAnsi="黑体"/>
          <w:highlight w:val="none"/>
        </w:rPr>
        <w:t>采购范围及相关要求</w:t>
      </w:r>
    </w:p>
    <w:p>
      <w:pPr>
        <w:pStyle w:val="6"/>
        <w:spacing w:line="360" w:lineRule="auto"/>
        <w:jc w:val="both"/>
        <w:rPr>
          <w:rFonts w:ascii="宋体" w:hAnsi="宋体" w:cs="宋体"/>
          <w:kern w:val="0"/>
          <w:sz w:val="24"/>
          <w:szCs w:val="24"/>
          <w:highlight w:val="none"/>
        </w:rPr>
      </w:pPr>
      <w:r>
        <w:rPr>
          <w:rFonts w:hint="eastAsia" w:ascii="宋体" w:hAnsi="宋体"/>
          <w:sz w:val="24"/>
          <w:highlight w:val="none"/>
        </w:rPr>
        <w:t>2.1</w:t>
      </w:r>
      <w:r>
        <w:rPr>
          <w:rFonts w:hint="eastAsia" w:ascii="宋体" w:hAnsi="宋体" w:eastAsia="宋体" w:cs="宋体"/>
          <w:kern w:val="0"/>
          <w:sz w:val="24"/>
          <w:szCs w:val="24"/>
          <w:highlight w:val="none"/>
        </w:rPr>
        <w:t>采购</w:t>
      </w:r>
      <w:r>
        <w:rPr>
          <w:rFonts w:hint="eastAsia" w:ascii="宋体" w:hAnsi="宋体" w:cs="宋体"/>
          <w:kern w:val="0"/>
          <w:sz w:val="24"/>
          <w:szCs w:val="24"/>
          <w:highlight w:val="none"/>
        </w:rPr>
        <w:t>范围</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4296"/>
        <w:gridCol w:w="1098"/>
        <w:gridCol w:w="2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070" w:type="dxa"/>
            <w:vAlign w:val="center"/>
          </w:tcPr>
          <w:p>
            <w:pPr>
              <w:autoSpaceDE w:val="0"/>
              <w:autoSpaceDN w:val="0"/>
              <w:adjustRightInd w:val="0"/>
              <w:spacing w:line="280" w:lineRule="atLeast"/>
              <w:jc w:val="center"/>
              <w:rPr>
                <w:rFonts w:hint="eastAsia" w:asciiTheme="minorEastAsia" w:hAnsiTheme="minorEastAsia" w:eastAsiaTheme="minorEastAsia" w:cstheme="minorEastAsia"/>
                <w:color w:val="000000"/>
                <w:kern w:val="0"/>
                <w:sz w:val="21"/>
                <w:szCs w:val="21"/>
                <w:highlight w:val="none"/>
              </w:rPr>
            </w:pPr>
            <w:r>
              <w:rPr>
                <w:rFonts w:hint="eastAsia" w:asciiTheme="minorEastAsia" w:hAnsiTheme="minorEastAsia" w:eastAsiaTheme="minorEastAsia" w:cstheme="minorEastAsia"/>
                <w:color w:val="000000"/>
                <w:kern w:val="0"/>
                <w:sz w:val="21"/>
                <w:szCs w:val="21"/>
                <w:highlight w:val="none"/>
              </w:rPr>
              <w:t>序号</w:t>
            </w:r>
          </w:p>
        </w:tc>
        <w:tc>
          <w:tcPr>
            <w:tcW w:w="4296" w:type="dxa"/>
            <w:vAlign w:val="center"/>
          </w:tcPr>
          <w:p>
            <w:pPr>
              <w:autoSpaceDE w:val="0"/>
              <w:autoSpaceDN w:val="0"/>
              <w:adjustRightInd w:val="0"/>
              <w:spacing w:line="280" w:lineRule="atLeast"/>
              <w:jc w:val="center"/>
              <w:rPr>
                <w:rFonts w:hint="eastAsia" w:asciiTheme="minorEastAsia" w:hAnsiTheme="minorEastAsia" w:eastAsiaTheme="minorEastAsia" w:cstheme="minorEastAsia"/>
                <w:color w:val="000000"/>
                <w:kern w:val="0"/>
                <w:sz w:val="21"/>
                <w:szCs w:val="21"/>
                <w:highlight w:val="none"/>
              </w:rPr>
            </w:pPr>
            <w:r>
              <w:rPr>
                <w:rFonts w:hint="eastAsia" w:asciiTheme="minorEastAsia" w:hAnsiTheme="minorEastAsia" w:eastAsiaTheme="minorEastAsia" w:cstheme="minorEastAsia"/>
                <w:color w:val="000000"/>
                <w:kern w:val="0"/>
                <w:sz w:val="21"/>
                <w:szCs w:val="21"/>
                <w:highlight w:val="none"/>
              </w:rPr>
              <w:t>设备名称</w:t>
            </w:r>
          </w:p>
        </w:tc>
        <w:tc>
          <w:tcPr>
            <w:tcW w:w="1098" w:type="dxa"/>
            <w:vAlign w:val="center"/>
          </w:tcPr>
          <w:p>
            <w:pPr>
              <w:autoSpaceDE w:val="0"/>
              <w:autoSpaceDN w:val="0"/>
              <w:adjustRightInd w:val="0"/>
              <w:spacing w:line="280" w:lineRule="atLeast"/>
              <w:jc w:val="center"/>
              <w:rPr>
                <w:rFonts w:hint="eastAsia" w:asciiTheme="minorEastAsia" w:hAnsiTheme="minorEastAsia" w:eastAsiaTheme="minorEastAsia" w:cstheme="minorEastAsia"/>
                <w:color w:val="000000"/>
                <w:kern w:val="0"/>
                <w:sz w:val="21"/>
                <w:szCs w:val="21"/>
                <w:highlight w:val="none"/>
              </w:rPr>
            </w:pPr>
            <w:r>
              <w:rPr>
                <w:rFonts w:hint="eastAsia" w:asciiTheme="minorEastAsia" w:hAnsiTheme="minorEastAsia" w:eastAsiaTheme="minorEastAsia" w:cstheme="minorEastAsia"/>
                <w:color w:val="000000"/>
                <w:kern w:val="0"/>
                <w:sz w:val="21"/>
                <w:szCs w:val="21"/>
                <w:highlight w:val="none"/>
              </w:rPr>
              <w:t>数量</w:t>
            </w:r>
          </w:p>
        </w:tc>
        <w:tc>
          <w:tcPr>
            <w:tcW w:w="2073" w:type="dxa"/>
            <w:vAlign w:val="center"/>
          </w:tcPr>
          <w:p>
            <w:pPr>
              <w:autoSpaceDE w:val="0"/>
              <w:autoSpaceDN w:val="0"/>
              <w:adjustRightInd w:val="0"/>
              <w:spacing w:line="280" w:lineRule="atLeast"/>
              <w:jc w:val="center"/>
              <w:rPr>
                <w:rFonts w:hint="eastAsia" w:asciiTheme="minorEastAsia" w:hAnsiTheme="minorEastAsia" w:eastAsiaTheme="minorEastAsia" w:cstheme="minorEastAsia"/>
                <w:color w:val="000000"/>
                <w:kern w:val="0"/>
                <w:sz w:val="21"/>
                <w:szCs w:val="21"/>
                <w:highlight w:val="none"/>
              </w:rPr>
            </w:pPr>
            <w:r>
              <w:rPr>
                <w:rFonts w:hint="eastAsia" w:asciiTheme="minorEastAsia" w:hAnsiTheme="minorEastAsia" w:eastAsiaTheme="minorEastAsia" w:cstheme="minorEastAsia"/>
                <w:color w:val="000000"/>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070" w:type="dxa"/>
            <w:vAlign w:val="center"/>
          </w:tcPr>
          <w:p>
            <w:pPr>
              <w:autoSpaceDE w:val="0"/>
              <w:autoSpaceDN w:val="0"/>
              <w:adjustRightInd w:val="0"/>
              <w:spacing w:line="280" w:lineRule="atLeast"/>
              <w:jc w:val="center"/>
              <w:rPr>
                <w:rFonts w:hint="eastAsia" w:asciiTheme="minorEastAsia" w:hAnsiTheme="minorEastAsia" w:eastAsiaTheme="minorEastAsia" w:cstheme="minorEastAsia"/>
                <w:color w:val="000000"/>
                <w:kern w:val="0"/>
                <w:sz w:val="21"/>
                <w:szCs w:val="21"/>
                <w:highlight w:val="none"/>
              </w:rPr>
            </w:pPr>
            <w:r>
              <w:rPr>
                <w:rFonts w:hint="eastAsia" w:asciiTheme="minorEastAsia" w:hAnsiTheme="minorEastAsia" w:eastAsiaTheme="minorEastAsia" w:cstheme="minorEastAsia"/>
                <w:color w:val="000000"/>
                <w:kern w:val="0"/>
                <w:sz w:val="21"/>
                <w:szCs w:val="21"/>
                <w:highlight w:val="none"/>
              </w:rPr>
              <w:t>1</w:t>
            </w:r>
          </w:p>
        </w:tc>
        <w:tc>
          <w:tcPr>
            <w:tcW w:w="4296" w:type="dxa"/>
            <w:vAlign w:val="center"/>
          </w:tcPr>
          <w:p>
            <w:pPr>
              <w:autoSpaceDE w:val="0"/>
              <w:autoSpaceDN w:val="0"/>
              <w:adjustRightInd w:val="0"/>
              <w:spacing w:line="280" w:lineRule="atLeast"/>
              <w:jc w:val="center"/>
              <w:rPr>
                <w:rFonts w:hint="eastAsia" w:asciiTheme="minorEastAsia" w:hAnsiTheme="minorEastAsia" w:eastAsiaTheme="minorEastAsia" w:cstheme="minorEastAsia"/>
                <w:color w:val="000000"/>
                <w:kern w:val="0"/>
                <w:sz w:val="21"/>
                <w:szCs w:val="21"/>
                <w:highlight w:val="none"/>
              </w:rPr>
            </w:pPr>
            <w:r>
              <w:rPr>
                <w:rFonts w:hint="eastAsia" w:asciiTheme="minorEastAsia" w:hAnsiTheme="minorEastAsia" w:eastAsiaTheme="minorEastAsia" w:cstheme="minorEastAsia"/>
                <w:color w:val="000000"/>
                <w:kern w:val="0"/>
                <w:sz w:val="21"/>
                <w:szCs w:val="21"/>
                <w:highlight w:val="none"/>
              </w:rPr>
              <w:t>超融合服务器</w:t>
            </w:r>
          </w:p>
        </w:tc>
        <w:tc>
          <w:tcPr>
            <w:tcW w:w="1098" w:type="dxa"/>
            <w:vAlign w:val="center"/>
          </w:tcPr>
          <w:p>
            <w:pPr>
              <w:autoSpaceDE w:val="0"/>
              <w:autoSpaceDN w:val="0"/>
              <w:adjustRightInd w:val="0"/>
              <w:spacing w:line="280" w:lineRule="atLeast"/>
              <w:jc w:val="center"/>
              <w:rPr>
                <w:rFonts w:hint="eastAsia" w:asciiTheme="minorEastAsia" w:hAnsiTheme="minorEastAsia" w:eastAsiaTheme="minorEastAsia" w:cstheme="minorEastAsia"/>
                <w:color w:val="000000"/>
                <w:kern w:val="0"/>
                <w:sz w:val="21"/>
                <w:szCs w:val="21"/>
                <w:highlight w:val="none"/>
              </w:rPr>
            </w:pPr>
            <w:r>
              <w:rPr>
                <w:rFonts w:hint="eastAsia" w:asciiTheme="minorEastAsia" w:hAnsiTheme="minorEastAsia" w:eastAsiaTheme="minorEastAsia" w:cstheme="minorEastAsia"/>
                <w:color w:val="000000"/>
                <w:kern w:val="0"/>
                <w:sz w:val="21"/>
                <w:szCs w:val="21"/>
                <w:highlight w:val="none"/>
              </w:rPr>
              <w:t>3台</w:t>
            </w:r>
          </w:p>
        </w:tc>
        <w:tc>
          <w:tcPr>
            <w:tcW w:w="2073" w:type="dxa"/>
            <w:vAlign w:val="center"/>
          </w:tcPr>
          <w:p>
            <w:pPr>
              <w:autoSpaceDE w:val="0"/>
              <w:autoSpaceDN w:val="0"/>
              <w:adjustRightInd w:val="0"/>
              <w:spacing w:line="280" w:lineRule="atLeast"/>
              <w:jc w:val="center"/>
              <w:rPr>
                <w:rFonts w:hint="eastAsia" w:asciiTheme="minorEastAsia" w:hAnsiTheme="minorEastAsia" w:eastAsiaTheme="minorEastAsia" w:cstheme="minorEastAsia"/>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1070" w:type="dxa"/>
            <w:vAlign w:val="center"/>
          </w:tcPr>
          <w:p>
            <w:pPr>
              <w:autoSpaceDE w:val="0"/>
              <w:autoSpaceDN w:val="0"/>
              <w:adjustRightInd w:val="0"/>
              <w:spacing w:line="280" w:lineRule="atLeast"/>
              <w:jc w:val="center"/>
              <w:rPr>
                <w:rFonts w:hint="eastAsia" w:asciiTheme="minorEastAsia" w:hAnsiTheme="minorEastAsia" w:eastAsiaTheme="minorEastAsia" w:cstheme="minorEastAsia"/>
                <w:color w:val="000000"/>
                <w:kern w:val="0"/>
                <w:sz w:val="21"/>
                <w:szCs w:val="21"/>
                <w:highlight w:val="none"/>
              </w:rPr>
            </w:pPr>
            <w:r>
              <w:rPr>
                <w:rFonts w:hint="eastAsia" w:asciiTheme="minorEastAsia" w:hAnsiTheme="minorEastAsia" w:eastAsiaTheme="minorEastAsia" w:cstheme="minorEastAsia"/>
                <w:color w:val="000000"/>
                <w:kern w:val="0"/>
                <w:sz w:val="21"/>
                <w:szCs w:val="21"/>
                <w:highlight w:val="none"/>
              </w:rPr>
              <w:t>2</w:t>
            </w:r>
          </w:p>
        </w:tc>
        <w:tc>
          <w:tcPr>
            <w:tcW w:w="4296" w:type="dxa"/>
            <w:vAlign w:val="center"/>
          </w:tcPr>
          <w:p>
            <w:pPr>
              <w:autoSpaceDE w:val="0"/>
              <w:autoSpaceDN w:val="0"/>
              <w:adjustRightInd w:val="0"/>
              <w:spacing w:line="280" w:lineRule="atLeast"/>
              <w:jc w:val="center"/>
              <w:rPr>
                <w:rFonts w:hint="eastAsia" w:asciiTheme="minorEastAsia" w:hAnsiTheme="minorEastAsia" w:eastAsiaTheme="minorEastAsia" w:cstheme="minorEastAsia"/>
                <w:color w:val="000000"/>
                <w:kern w:val="0"/>
                <w:sz w:val="21"/>
                <w:szCs w:val="21"/>
                <w:highlight w:val="none"/>
              </w:rPr>
            </w:pPr>
            <w:r>
              <w:rPr>
                <w:rFonts w:hint="eastAsia" w:asciiTheme="minorEastAsia" w:hAnsiTheme="minorEastAsia" w:eastAsiaTheme="minorEastAsia" w:cstheme="minorEastAsia"/>
                <w:color w:val="000000"/>
                <w:kern w:val="0"/>
                <w:sz w:val="21"/>
                <w:szCs w:val="21"/>
                <w:highlight w:val="none"/>
              </w:rPr>
              <w:t>超融合服务器防病毒软件</w:t>
            </w:r>
          </w:p>
        </w:tc>
        <w:tc>
          <w:tcPr>
            <w:tcW w:w="1098" w:type="dxa"/>
            <w:vAlign w:val="center"/>
          </w:tcPr>
          <w:p>
            <w:pPr>
              <w:autoSpaceDE w:val="0"/>
              <w:autoSpaceDN w:val="0"/>
              <w:adjustRightInd w:val="0"/>
              <w:spacing w:line="280" w:lineRule="atLeast"/>
              <w:jc w:val="center"/>
              <w:rPr>
                <w:rFonts w:hint="eastAsia" w:asciiTheme="minorEastAsia" w:hAnsiTheme="minorEastAsia" w:eastAsiaTheme="minorEastAsia" w:cstheme="minorEastAsia"/>
                <w:color w:val="000000"/>
                <w:kern w:val="0"/>
                <w:sz w:val="21"/>
                <w:szCs w:val="21"/>
                <w:highlight w:val="none"/>
              </w:rPr>
            </w:pPr>
            <w:r>
              <w:rPr>
                <w:rFonts w:hint="eastAsia" w:asciiTheme="minorEastAsia" w:hAnsiTheme="minorEastAsia" w:eastAsiaTheme="minorEastAsia" w:cstheme="minorEastAsia"/>
                <w:color w:val="000000"/>
                <w:kern w:val="0"/>
                <w:sz w:val="21"/>
                <w:szCs w:val="21"/>
                <w:highlight w:val="none"/>
              </w:rPr>
              <w:t>1套</w:t>
            </w:r>
          </w:p>
        </w:tc>
        <w:tc>
          <w:tcPr>
            <w:tcW w:w="2073" w:type="dxa"/>
            <w:vAlign w:val="center"/>
          </w:tcPr>
          <w:p>
            <w:pPr>
              <w:autoSpaceDE w:val="0"/>
              <w:autoSpaceDN w:val="0"/>
              <w:adjustRightInd w:val="0"/>
              <w:spacing w:line="280" w:lineRule="atLeast"/>
              <w:jc w:val="center"/>
              <w:rPr>
                <w:rFonts w:hint="eastAsia" w:asciiTheme="minorEastAsia" w:hAnsiTheme="minorEastAsia" w:eastAsiaTheme="minorEastAsia" w:cstheme="minorEastAsia"/>
                <w:color w:val="000000"/>
                <w:kern w:val="0"/>
                <w:sz w:val="21"/>
                <w:szCs w:val="21"/>
                <w:highlight w:val="none"/>
              </w:rPr>
            </w:pPr>
            <w:r>
              <w:rPr>
                <w:rFonts w:hint="eastAsia" w:asciiTheme="minorEastAsia" w:hAnsiTheme="minorEastAsia" w:eastAsiaTheme="minorEastAsia" w:cstheme="minorEastAsia"/>
                <w:sz w:val="21"/>
                <w:szCs w:val="21"/>
                <w:highlight w:val="none"/>
              </w:rPr>
              <w:t>需与超融合同一品牌，三年原厂服务。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070" w:type="dxa"/>
            <w:vAlign w:val="center"/>
          </w:tcPr>
          <w:p>
            <w:pPr>
              <w:autoSpaceDE w:val="0"/>
              <w:autoSpaceDN w:val="0"/>
              <w:adjustRightInd w:val="0"/>
              <w:spacing w:line="280" w:lineRule="atLeast"/>
              <w:jc w:val="center"/>
              <w:rPr>
                <w:rFonts w:hint="eastAsia" w:asciiTheme="minorEastAsia" w:hAnsiTheme="minorEastAsia" w:eastAsiaTheme="minorEastAsia" w:cstheme="minorEastAsia"/>
                <w:color w:val="000000"/>
                <w:kern w:val="0"/>
                <w:sz w:val="21"/>
                <w:szCs w:val="21"/>
                <w:highlight w:val="none"/>
              </w:rPr>
            </w:pPr>
            <w:r>
              <w:rPr>
                <w:rFonts w:hint="eastAsia" w:asciiTheme="minorEastAsia" w:hAnsiTheme="minorEastAsia" w:eastAsiaTheme="minorEastAsia" w:cstheme="minorEastAsia"/>
                <w:color w:val="000000"/>
                <w:kern w:val="0"/>
                <w:sz w:val="21"/>
                <w:szCs w:val="21"/>
                <w:highlight w:val="none"/>
              </w:rPr>
              <w:t>3</w:t>
            </w:r>
          </w:p>
        </w:tc>
        <w:tc>
          <w:tcPr>
            <w:tcW w:w="4296" w:type="dxa"/>
            <w:vAlign w:val="center"/>
          </w:tcPr>
          <w:p>
            <w:pPr>
              <w:autoSpaceDE w:val="0"/>
              <w:autoSpaceDN w:val="0"/>
              <w:adjustRightInd w:val="0"/>
              <w:spacing w:line="280" w:lineRule="atLeast"/>
              <w:jc w:val="center"/>
              <w:rPr>
                <w:rFonts w:hint="eastAsia" w:asciiTheme="minorEastAsia" w:hAnsiTheme="minorEastAsia" w:eastAsiaTheme="minorEastAsia" w:cstheme="minorEastAsia"/>
                <w:color w:val="000000"/>
                <w:kern w:val="0"/>
                <w:sz w:val="21"/>
                <w:szCs w:val="21"/>
                <w:highlight w:val="none"/>
                <w:lang w:val="en-US" w:eastAsia="zh-CN"/>
              </w:rPr>
            </w:pPr>
            <w:r>
              <w:rPr>
                <w:rFonts w:hint="eastAsia" w:asciiTheme="minorEastAsia" w:hAnsiTheme="minorEastAsia" w:eastAsiaTheme="minorEastAsia" w:cstheme="minorEastAsia"/>
                <w:color w:val="000000"/>
                <w:kern w:val="0"/>
                <w:sz w:val="21"/>
                <w:szCs w:val="21"/>
                <w:highlight w:val="none"/>
                <w:lang w:val="en-US" w:eastAsia="zh-CN"/>
              </w:rPr>
              <w:t>万兆交换机</w:t>
            </w:r>
          </w:p>
        </w:tc>
        <w:tc>
          <w:tcPr>
            <w:tcW w:w="1098" w:type="dxa"/>
            <w:vAlign w:val="center"/>
          </w:tcPr>
          <w:p>
            <w:pPr>
              <w:autoSpaceDE w:val="0"/>
              <w:autoSpaceDN w:val="0"/>
              <w:adjustRightInd w:val="0"/>
              <w:spacing w:line="280" w:lineRule="atLeast"/>
              <w:jc w:val="center"/>
              <w:rPr>
                <w:rFonts w:hint="eastAsia" w:asciiTheme="minorEastAsia" w:hAnsiTheme="minorEastAsia" w:eastAsiaTheme="minorEastAsia" w:cstheme="minorEastAsia"/>
                <w:color w:val="000000"/>
                <w:kern w:val="0"/>
                <w:sz w:val="21"/>
                <w:szCs w:val="21"/>
                <w:highlight w:val="none"/>
                <w:lang w:val="en-US" w:eastAsia="zh-CN"/>
              </w:rPr>
            </w:pPr>
            <w:r>
              <w:rPr>
                <w:rFonts w:hint="eastAsia" w:asciiTheme="minorEastAsia" w:hAnsiTheme="minorEastAsia" w:eastAsiaTheme="minorEastAsia" w:cstheme="minorEastAsia"/>
                <w:color w:val="000000"/>
                <w:kern w:val="0"/>
                <w:sz w:val="21"/>
                <w:szCs w:val="21"/>
                <w:highlight w:val="none"/>
                <w:lang w:val="en-US" w:eastAsia="zh-CN"/>
              </w:rPr>
              <w:t>1台</w:t>
            </w:r>
          </w:p>
        </w:tc>
        <w:tc>
          <w:tcPr>
            <w:tcW w:w="2073" w:type="dxa"/>
            <w:vAlign w:val="center"/>
          </w:tcPr>
          <w:p>
            <w:pPr>
              <w:autoSpaceDE w:val="0"/>
              <w:autoSpaceDN w:val="0"/>
              <w:adjustRightInd w:val="0"/>
              <w:spacing w:line="280" w:lineRule="atLeast"/>
              <w:jc w:val="center"/>
              <w:rPr>
                <w:rFonts w:hint="eastAsia" w:asciiTheme="minorEastAsia" w:hAnsiTheme="minorEastAsia" w:eastAsiaTheme="minorEastAsia" w:cstheme="minorEastAsia"/>
                <w:color w:val="00000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jc w:val="center"/>
        </w:trPr>
        <w:tc>
          <w:tcPr>
            <w:tcW w:w="1070" w:type="dxa"/>
            <w:vAlign w:val="center"/>
          </w:tcPr>
          <w:p>
            <w:pPr>
              <w:autoSpaceDE w:val="0"/>
              <w:autoSpaceDN w:val="0"/>
              <w:adjustRightInd w:val="0"/>
              <w:spacing w:line="280" w:lineRule="atLeast"/>
              <w:jc w:val="center"/>
              <w:rPr>
                <w:rFonts w:hint="eastAsia" w:asciiTheme="minorEastAsia" w:hAnsiTheme="minorEastAsia" w:eastAsiaTheme="minorEastAsia" w:cstheme="minorEastAsia"/>
                <w:color w:val="000000"/>
                <w:kern w:val="0"/>
                <w:sz w:val="21"/>
                <w:szCs w:val="21"/>
                <w:highlight w:val="none"/>
                <w:lang w:val="en-US" w:eastAsia="zh-CN"/>
              </w:rPr>
            </w:pPr>
            <w:r>
              <w:rPr>
                <w:rFonts w:hint="eastAsia" w:asciiTheme="minorEastAsia" w:hAnsiTheme="minorEastAsia" w:eastAsiaTheme="minorEastAsia" w:cstheme="minorEastAsia"/>
                <w:color w:val="000000"/>
                <w:kern w:val="0"/>
                <w:sz w:val="21"/>
                <w:szCs w:val="21"/>
                <w:highlight w:val="none"/>
                <w:lang w:val="en-US" w:eastAsia="zh-CN"/>
              </w:rPr>
              <w:t>4</w:t>
            </w:r>
          </w:p>
        </w:tc>
        <w:tc>
          <w:tcPr>
            <w:tcW w:w="4296" w:type="dxa"/>
            <w:vAlign w:val="center"/>
          </w:tcPr>
          <w:p>
            <w:pPr>
              <w:autoSpaceDE w:val="0"/>
              <w:autoSpaceDN w:val="0"/>
              <w:adjustRightInd w:val="0"/>
              <w:spacing w:line="280" w:lineRule="atLeast"/>
              <w:jc w:val="center"/>
              <w:rPr>
                <w:rFonts w:hint="eastAsia" w:asciiTheme="minorEastAsia" w:hAnsiTheme="minorEastAsia" w:eastAsiaTheme="minorEastAsia" w:cstheme="minorEastAsia"/>
                <w:color w:val="000000"/>
                <w:kern w:val="0"/>
                <w:sz w:val="21"/>
                <w:szCs w:val="21"/>
                <w:highlight w:val="none"/>
                <w:lang w:val="en-US" w:eastAsia="zh-CN"/>
              </w:rPr>
            </w:pPr>
            <w:r>
              <w:rPr>
                <w:rFonts w:hint="eastAsia" w:asciiTheme="minorEastAsia" w:hAnsiTheme="minorEastAsia" w:eastAsiaTheme="minorEastAsia" w:cstheme="minorEastAsia"/>
                <w:sz w:val="21"/>
                <w:szCs w:val="21"/>
                <w:highlight w:val="none"/>
              </w:rPr>
              <w:t>本地网络服务专线（5公里）</w:t>
            </w:r>
          </w:p>
        </w:tc>
        <w:tc>
          <w:tcPr>
            <w:tcW w:w="1098" w:type="dxa"/>
            <w:vAlign w:val="center"/>
          </w:tcPr>
          <w:p>
            <w:pPr>
              <w:autoSpaceDE w:val="0"/>
              <w:autoSpaceDN w:val="0"/>
              <w:adjustRightInd w:val="0"/>
              <w:spacing w:line="280" w:lineRule="atLeast"/>
              <w:jc w:val="center"/>
              <w:rPr>
                <w:rFonts w:hint="eastAsia" w:asciiTheme="minorEastAsia" w:hAnsiTheme="minorEastAsia" w:eastAsiaTheme="minorEastAsia" w:cstheme="minorEastAsia"/>
                <w:color w:val="000000"/>
                <w:kern w:val="0"/>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2</w:t>
            </w:r>
            <w:r>
              <w:rPr>
                <w:rFonts w:hint="eastAsia" w:asciiTheme="minorEastAsia" w:hAnsiTheme="minorEastAsia" w:eastAsiaTheme="minorEastAsia" w:cstheme="minorEastAsia"/>
                <w:sz w:val="21"/>
                <w:szCs w:val="21"/>
                <w:highlight w:val="none"/>
              </w:rPr>
              <w:t>条</w:t>
            </w:r>
          </w:p>
        </w:tc>
        <w:tc>
          <w:tcPr>
            <w:tcW w:w="2073" w:type="dxa"/>
            <w:vAlign w:val="center"/>
          </w:tcPr>
          <w:p>
            <w:pPr>
              <w:autoSpaceDE w:val="0"/>
              <w:autoSpaceDN w:val="0"/>
              <w:adjustRightInd w:val="0"/>
              <w:spacing w:line="280" w:lineRule="atLeast"/>
              <w:jc w:val="center"/>
              <w:rPr>
                <w:rFonts w:hint="eastAsia" w:asciiTheme="minorEastAsia" w:hAnsiTheme="minorEastAsia" w:eastAsiaTheme="minorEastAsia" w:cstheme="minorEastAsia"/>
                <w:color w:val="000000"/>
                <w:kern w:val="0"/>
                <w:sz w:val="21"/>
                <w:szCs w:val="21"/>
                <w:highlight w:val="none"/>
              </w:rPr>
            </w:pPr>
            <w:r>
              <w:rPr>
                <w:rFonts w:hint="eastAsia" w:asciiTheme="minorEastAsia" w:hAnsiTheme="minorEastAsia" w:eastAsiaTheme="minorEastAsia" w:cstheme="minorEastAsia"/>
                <w:sz w:val="21"/>
                <w:szCs w:val="21"/>
                <w:highlight w:val="none"/>
              </w:rPr>
              <w:t>带宽不低于10</w:t>
            </w:r>
            <w:r>
              <w:rPr>
                <w:rFonts w:hint="eastAsia" w:asciiTheme="minorEastAsia" w:hAnsiTheme="minorEastAsia" w:eastAsiaTheme="minorEastAsia" w:cstheme="minorEastAsia"/>
                <w:sz w:val="21"/>
                <w:szCs w:val="21"/>
                <w:highlight w:val="none"/>
                <w:lang w:val="en-US" w:eastAsia="zh-CN"/>
              </w:rPr>
              <w:t>0</w:t>
            </w:r>
            <w:r>
              <w:rPr>
                <w:rFonts w:hint="eastAsia" w:asciiTheme="minorEastAsia" w:hAnsiTheme="minorEastAsia" w:eastAsiaTheme="minorEastAsia" w:cstheme="minorEastAsia"/>
                <w:sz w:val="21"/>
                <w:szCs w:val="21"/>
                <w:highlight w:val="none"/>
              </w:rPr>
              <w:t>M，</w:t>
            </w:r>
            <w:r>
              <w:rPr>
                <w:rFonts w:hint="eastAsia" w:asciiTheme="minorEastAsia" w:hAnsiTheme="minorEastAsia" w:eastAsiaTheme="minorEastAsia" w:cstheme="minorEastAsia"/>
                <w:sz w:val="21"/>
                <w:szCs w:val="21"/>
                <w:highlight w:val="none"/>
                <w:lang w:eastAsia="zh-CN"/>
              </w:rPr>
              <w:t>分属于不同供应商，一用一备。</w:t>
            </w:r>
            <w:r>
              <w:rPr>
                <w:rFonts w:hint="eastAsia" w:asciiTheme="minorEastAsia" w:hAnsiTheme="minorEastAsia" w:eastAsiaTheme="minorEastAsia" w:cstheme="minorEastAsia"/>
                <w:sz w:val="21"/>
                <w:szCs w:val="21"/>
                <w:highlight w:val="none"/>
              </w:rPr>
              <w:t>服务年限1年</w:t>
            </w:r>
          </w:p>
        </w:tc>
      </w:tr>
    </w:tbl>
    <w:p>
      <w:pPr>
        <w:pStyle w:val="16"/>
        <w:rPr>
          <w:rFonts w:ascii="宋体" w:hAnsi="宋体"/>
          <w:b/>
          <w:bCs/>
          <w:highlight w:val="none"/>
        </w:rPr>
      </w:pPr>
    </w:p>
    <w:p>
      <w:pPr>
        <w:pStyle w:val="16"/>
        <w:rPr>
          <w:rFonts w:ascii="宋体" w:hAnsi="宋体"/>
          <w:b/>
          <w:bCs/>
          <w:highlight w:val="none"/>
        </w:rPr>
      </w:pPr>
    </w:p>
    <w:p>
      <w:pPr>
        <w:spacing w:line="360" w:lineRule="auto"/>
        <w:rPr>
          <w:rFonts w:ascii="宋体" w:hAnsi="宋体" w:cs="宋体"/>
          <w:sz w:val="24"/>
          <w:highlight w:val="none"/>
        </w:rPr>
      </w:pPr>
      <w:r>
        <w:rPr>
          <w:rFonts w:hint="eastAsia" w:ascii="宋体" w:hAnsi="宋体" w:cs="宋体"/>
          <w:b/>
          <w:bCs/>
          <w:sz w:val="24"/>
          <w:highlight w:val="none"/>
        </w:rPr>
        <w:t>2.2</w:t>
      </w:r>
      <w:r>
        <w:rPr>
          <w:rFonts w:hint="eastAsia" w:ascii="宋体" w:hAnsi="宋体" w:cs="宋体"/>
          <w:sz w:val="24"/>
          <w:highlight w:val="none"/>
        </w:rPr>
        <w:t>交货期：合同签订后50个日历日内交货</w:t>
      </w:r>
      <w:r>
        <w:rPr>
          <w:rFonts w:hint="eastAsia" w:ascii="宋体" w:hAnsi="宋体" w:cs="宋体"/>
          <w:sz w:val="24"/>
          <w:highlight w:val="none"/>
          <w:lang w:eastAsia="zh-CN"/>
        </w:rPr>
        <w:t>并完成调试验收</w:t>
      </w:r>
      <w:r>
        <w:rPr>
          <w:rFonts w:hint="eastAsia" w:ascii="宋体" w:hAnsi="宋体" w:cs="宋体"/>
          <w:sz w:val="24"/>
          <w:highlight w:val="none"/>
        </w:rPr>
        <w:t>。</w:t>
      </w:r>
    </w:p>
    <w:p>
      <w:pPr>
        <w:spacing w:line="360" w:lineRule="auto"/>
        <w:rPr>
          <w:rFonts w:ascii="宋体" w:hAnsi="宋体" w:cs="宋体"/>
          <w:sz w:val="24"/>
          <w:highlight w:val="none"/>
        </w:rPr>
      </w:pPr>
      <w:r>
        <w:rPr>
          <w:rFonts w:hint="eastAsia" w:ascii="宋体" w:hAnsi="宋体" w:cs="宋体"/>
          <w:b/>
          <w:bCs/>
          <w:sz w:val="24"/>
          <w:highlight w:val="none"/>
        </w:rPr>
        <w:t>2.3</w:t>
      </w:r>
      <w:r>
        <w:rPr>
          <w:rFonts w:hint="eastAsia" w:ascii="宋体" w:hAnsi="宋体" w:cs="宋体"/>
          <w:sz w:val="24"/>
          <w:highlight w:val="none"/>
        </w:rPr>
        <w:t>交货地点：服务器放置在岳阳市城陵矶新港有限公司机</w:t>
      </w:r>
      <w:r>
        <w:rPr>
          <w:rFonts w:hint="eastAsia" w:ascii="宋体" w:hAnsi="宋体" w:cs="宋体"/>
          <w:sz w:val="24"/>
          <w:highlight w:val="none"/>
          <w:lang w:eastAsia="zh-CN"/>
        </w:rPr>
        <w:t>房。</w:t>
      </w:r>
    </w:p>
    <w:p>
      <w:pPr>
        <w:pStyle w:val="15"/>
        <w:rPr>
          <w:rFonts w:ascii="宋体" w:hAnsi="宋体" w:cs="宋体"/>
          <w:sz w:val="24"/>
          <w:highlight w:val="none"/>
        </w:rPr>
      </w:pPr>
      <w:r>
        <w:rPr>
          <w:rFonts w:hint="eastAsia" w:ascii="宋体" w:hAnsi="宋体"/>
          <w:b/>
          <w:bCs/>
          <w:sz w:val="24"/>
          <w:highlight w:val="none"/>
        </w:rPr>
        <w:t>2.4</w:t>
      </w:r>
      <w:r>
        <w:rPr>
          <w:rFonts w:hint="eastAsia" w:ascii="宋体" w:hAnsi="宋体"/>
          <w:sz w:val="24"/>
          <w:highlight w:val="none"/>
        </w:rPr>
        <w:t xml:space="preserve"> 货物质量标准或主要技术性能指标：</w:t>
      </w:r>
      <w:r>
        <w:rPr>
          <w:rFonts w:hint="eastAsia" w:ascii="宋体" w:hAnsi="宋体" w:cs="宋体"/>
          <w:sz w:val="24"/>
          <w:highlight w:val="none"/>
        </w:rPr>
        <w:t>详见采购文件第五章“采购需求”。</w:t>
      </w:r>
    </w:p>
    <w:p>
      <w:pPr>
        <w:pStyle w:val="6"/>
        <w:spacing w:line="360" w:lineRule="auto"/>
        <w:jc w:val="both"/>
        <w:rPr>
          <w:rFonts w:ascii="Arial" w:hAnsi="Arial"/>
          <w:highlight w:val="none"/>
        </w:rPr>
      </w:pPr>
      <w:r>
        <w:rPr>
          <w:rFonts w:hint="eastAsia"/>
          <w:highlight w:val="none"/>
        </w:rPr>
        <w:t xml:space="preserve">3 </w:t>
      </w:r>
      <w:r>
        <w:rPr>
          <w:rFonts w:hint="eastAsia" w:ascii="黑体" w:hAnsi="黑体"/>
          <w:highlight w:val="none"/>
        </w:rPr>
        <w:t>供应商资格要求</w:t>
      </w:r>
    </w:p>
    <w:p>
      <w:pPr>
        <w:autoSpaceDE w:val="0"/>
        <w:spacing w:line="360" w:lineRule="auto"/>
        <w:jc w:val="both"/>
        <w:rPr>
          <w:rFonts w:ascii="宋体" w:hAnsi="宋体"/>
          <w:sz w:val="24"/>
          <w:highlight w:val="none"/>
        </w:rPr>
      </w:pPr>
      <w:r>
        <w:rPr>
          <w:rFonts w:hint="eastAsia" w:ascii="宋体" w:hAnsi="宋体"/>
          <w:b/>
          <w:bCs/>
          <w:sz w:val="24"/>
          <w:highlight w:val="none"/>
        </w:rPr>
        <w:t>3.1</w:t>
      </w:r>
      <w:r>
        <w:rPr>
          <w:rFonts w:hint="eastAsia" w:ascii="宋体" w:hAnsi="宋体"/>
          <w:sz w:val="24"/>
          <w:highlight w:val="none"/>
        </w:rPr>
        <w:t>供应商不得存在下列情形之一:</w:t>
      </w:r>
    </w:p>
    <w:p>
      <w:pPr>
        <w:autoSpaceDE w:val="0"/>
        <w:spacing w:line="360" w:lineRule="auto"/>
        <w:ind w:firstLine="240" w:firstLineChars="100"/>
        <w:jc w:val="both"/>
        <w:rPr>
          <w:rFonts w:ascii="宋体" w:hAnsi="宋体"/>
          <w:sz w:val="24"/>
          <w:highlight w:val="none"/>
        </w:rPr>
      </w:pPr>
      <w:r>
        <w:rPr>
          <w:rFonts w:hint="eastAsia" w:ascii="宋体" w:hAnsi="宋体"/>
          <w:sz w:val="24"/>
          <w:highlight w:val="none"/>
        </w:rPr>
        <w:t>3.1.1处于被责令停产停业、暂扣或者吊销执照、暂扣或者吊销许可证、吊销资质证书状态；</w:t>
      </w:r>
    </w:p>
    <w:p>
      <w:pPr>
        <w:autoSpaceDE w:val="0"/>
        <w:spacing w:line="360" w:lineRule="auto"/>
        <w:ind w:firstLine="240" w:firstLineChars="100"/>
        <w:jc w:val="both"/>
        <w:rPr>
          <w:rFonts w:ascii="宋体" w:hAnsi="宋体"/>
          <w:sz w:val="24"/>
          <w:highlight w:val="none"/>
        </w:rPr>
      </w:pPr>
      <w:r>
        <w:rPr>
          <w:rFonts w:hint="eastAsia" w:ascii="宋体" w:hAnsi="宋体"/>
          <w:sz w:val="24"/>
          <w:highlight w:val="none"/>
        </w:rPr>
        <w:t>3.1.2进入清算程序，或被宣告破产，或其他丧失履约能力的情形；</w:t>
      </w:r>
    </w:p>
    <w:p>
      <w:pPr>
        <w:autoSpaceDE w:val="0"/>
        <w:spacing w:line="360" w:lineRule="auto"/>
        <w:ind w:firstLine="240" w:firstLineChars="100"/>
        <w:jc w:val="both"/>
        <w:rPr>
          <w:rFonts w:ascii="宋体" w:hAnsi="宋体"/>
          <w:sz w:val="24"/>
          <w:highlight w:val="none"/>
        </w:rPr>
      </w:pPr>
      <w:r>
        <w:rPr>
          <w:rFonts w:hint="eastAsia" w:ascii="宋体" w:hAnsi="宋体"/>
          <w:sz w:val="24"/>
          <w:highlight w:val="none"/>
        </w:rPr>
        <w:t>3.1.3被采购人或采购人上级单位纳入黑名单；</w:t>
      </w:r>
    </w:p>
    <w:p>
      <w:pPr>
        <w:autoSpaceDE w:val="0"/>
        <w:spacing w:line="360" w:lineRule="auto"/>
        <w:ind w:firstLine="240" w:firstLineChars="100"/>
        <w:rPr>
          <w:sz w:val="24"/>
          <w:highlight w:val="none"/>
        </w:rPr>
      </w:pPr>
      <w:r>
        <w:rPr>
          <w:rFonts w:hint="eastAsia" w:ascii="宋体" w:hAnsi="宋体"/>
          <w:sz w:val="24"/>
          <w:highlight w:val="none"/>
        </w:rPr>
        <w:t>3.1.4</w:t>
      </w:r>
      <w:r>
        <w:rPr>
          <w:rFonts w:hint="eastAsia"/>
          <w:sz w:val="24"/>
          <w:highlight w:val="none"/>
        </w:rPr>
        <w:t>为投资参股本项目的法人单位；</w:t>
      </w:r>
    </w:p>
    <w:p>
      <w:pPr>
        <w:autoSpaceDE w:val="0"/>
        <w:spacing w:line="360" w:lineRule="auto"/>
        <w:ind w:firstLine="240" w:firstLineChars="100"/>
        <w:rPr>
          <w:rFonts w:ascii="宋体" w:hAnsi="宋体"/>
          <w:sz w:val="24"/>
          <w:highlight w:val="none"/>
        </w:rPr>
      </w:pPr>
      <w:r>
        <w:rPr>
          <w:rFonts w:hint="eastAsia" w:ascii="宋体" w:hAnsi="宋体"/>
          <w:sz w:val="24"/>
          <w:highlight w:val="none"/>
        </w:rPr>
        <w:t>3.1.5被</w:t>
      </w:r>
      <w:r>
        <w:rPr>
          <w:rFonts w:hint="eastAsia"/>
          <w:sz w:val="24"/>
          <w:highlight w:val="none"/>
        </w:rPr>
        <w:t>省级及以上交通主管部门取消项目所在地的投标资格或禁止进入该区域水运建设市场且处于有效期内；</w:t>
      </w:r>
    </w:p>
    <w:p>
      <w:pPr>
        <w:autoSpaceDE w:val="0"/>
        <w:spacing w:line="360" w:lineRule="auto"/>
        <w:jc w:val="both"/>
        <w:rPr>
          <w:rFonts w:ascii="宋体" w:hAnsi="宋体"/>
          <w:sz w:val="24"/>
          <w:highlight w:val="none"/>
        </w:rPr>
      </w:pPr>
      <w:r>
        <w:rPr>
          <w:rFonts w:hint="eastAsia" w:ascii="宋体" w:hAnsi="宋体"/>
          <w:b/>
          <w:bCs/>
          <w:sz w:val="24"/>
          <w:highlight w:val="none"/>
        </w:rPr>
        <w:t>3.2</w:t>
      </w:r>
      <w:r>
        <w:rPr>
          <w:rFonts w:hint="eastAsia" w:ascii="宋体" w:hAnsi="宋体"/>
          <w:sz w:val="24"/>
          <w:highlight w:val="none"/>
        </w:rPr>
        <w:t>供应商应满足如下要求:</w:t>
      </w:r>
    </w:p>
    <w:tbl>
      <w:tblPr>
        <w:tblStyle w:val="40"/>
        <w:tblW w:w="939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1786"/>
        <w:gridCol w:w="5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1" w:type="dxa"/>
          </w:tcPr>
          <w:p>
            <w:pPr>
              <w:widowControl w:val="0"/>
              <w:spacing w:line="360" w:lineRule="auto"/>
              <w:jc w:val="center"/>
              <w:rPr>
                <w:rFonts w:ascii="宋体" w:hAnsi="宋体"/>
                <w:szCs w:val="21"/>
                <w:highlight w:val="none"/>
              </w:rPr>
            </w:pPr>
            <w:r>
              <w:rPr>
                <w:rFonts w:hint="eastAsia" w:ascii="宋体" w:hAnsi="宋体"/>
                <w:szCs w:val="21"/>
                <w:highlight w:val="none"/>
              </w:rPr>
              <w:t>资格条件</w:t>
            </w:r>
          </w:p>
        </w:tc>
        <w:tc>
          <w:tcPr>
            <w:tcW w:w="1786" w:type="dxa"/>
          </w:tcPr>
          <w:p>
            <w:pPr>
              <w:widowControl w:val="0"/>
              <w:spacing w:line="360" w:lineRule="auto"/>
              <w:jc w:val="center"/>
              <w:rPr>
                <w:rFonts w:ascii="宋体" w:hAnsi="宋体"/>
                <w:szCs w:val="21"/>
                <w:highlight w:val="none"/>
              </w:rPr>
            </w:pPr>
            <w:r>
              <w:rPr>
                <w:rFonts w:hint="eastAsia" w:ascii="宋体" w:hAnsi="宋体"/>
                <w:szCs w:val="21"/>
                <w:highlight w:val="none"/>
              </w:rPr>
              <w:t>对供应商要求</w:t>
            </w:r>
          </w:p>
        </w:tc>
        <w:tc>
          <w:tcPr>
            <w:tcW w:w="5233" w:type="dxa"/>
          </w:tcPr>
          <w:p>
            <w:pPr>
              <w:widowControl w:val="0"/>
              <w:spacing w:line="360" w:lineRule="auto"/>
              <w:jc w:val="center"/>
              <w:rPr>
                <w:rFonts w:ascii="宋体" w:hAnsi="宋体"/>
                <w:szCs w:val="21"/>
                <w:highlight w:val="none"/>
              </w:rPr>
            </w:pPr>
            <w:r>
              <w:rPr>
                <w:rFonts w:hint="eastAsia" w:ascii="宋体" w:hAnsi="宋体"/>
                <w:szCs w:val="21"/>
                <w:highlight w:val="none"/>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1" w:type="dxa"/>
            <w:vAlign w:val="center"/>
          </w:tcPr>
          <w:p>
            <w:pPr>
              <w:widowControl w:val="0"/>
              <w:spacing w:line="360" w:lineRule="auto"/>
              <w:jc w:val="center"/>
              <w:rPr>
                <w:rFonts w:ascii="宋体" w:hAnsi="宋体" w:cs="宋体"/>
                <w:szCs w:val="21"/>
                <w:highlight w:val="none"/>
              </w:rPr>
            </w:pPr>
            <w:r>
              <w:rPr>
                <w:rFonts w:hint="eastAsia" w:ascii="宋体" w:hAnsi="宋体" w:cs="宋体"/>
                <w:szCs w:val="21"/>
                <w:highlight w:val="none"/>
              </w:rPr>
              <w:t>（1）依法设立</w:t>
            </w:r>
          </w:p>
        </w:tc>
        <w:tc>
          <w:tcPr>
            <w:tcW w:w="1786" w:type="dxa"/>
            <w:vAlign w:val="center"/>
          </w:tcPr>
          <w:p>
            <w:pPr>
              <w:widowControl w:val="0"/>
              <w:spacing w:line="360" w:lineRule="auto"/>
              <w:jc w:val="center"/>
              <w:rPr>
                <w:rFonts w:ascii="宋体" w:hAnsi="宋体" w:cs="宋体"/>
                <w:szCs w:val="21"/>
                <w:highlight w:val="none"/>
              </w:rPr>
            </w:pPr>
            <w:r>
              <w:rPr>
                <w:rStyle w:val="42"/>
                <w:rFonts w:hint="eastAsia" w:ascii="宋体" w:hAnsi="宋体" w:cs="宋体"/>
                <w:szCs w:val="21"/>
                <w:highlight w:val="none"/>
              </w:rPr>
              <w:t>☑适用</w:t>
            </w:r>
          </w:p>
        </w:tc>
        <w:tc>
          <w:tcPr>
            <w:tcW w:w="5233" w:type="dxa"/>
            <w:vAlign w:val="center"/>
          </w:tcPr>
          <w:p>
            <w:pPr>
              <w:widowControl w:val="0"/>
              <w:spacing w:line="360" w:lineRule="auto"/>
              <w:jc w:val="center"/>
              <w:rPr>
                <w:rFonts w:ascii="宋体" w:hAnsi="宋体" w:cs="宋体"/>
                <w:szCs w:val="21"/>
                <w:highlight w:val="none"/>
              </w:rPr>
            </w:pPr>
            <w:r>
              <w:rPr>
                <w:rStyle w:val="42"/>
                <w:rFonts w:hint="eastAsia" w:ascii="宋体" w:hAnsi="宋体" w:cs="宋体"/>
                <w:b w:val="0"/>
                <w:bCs w:val="0"/>
                <w:szCs w:val="21"/>
                <w:highlight w:val="none"/>
              </w:rPr>
              <w:t>☑适用,见采购文件供应商须知前附表3.5（1）。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1" w:type="dxa"/>
            <w:vAlign w:val="center"/>
          </w:tcPr>
          <w:p>
            <w:pPr>
              <w:widowControl w:val="0"/>
              <w:spacing w:line="360" w:lineRule="auto"/>
              <w:jc w:val="center"/>
              <w:rPr>
                <w:rFonts w:ascii="宋体" w:hAnsi="宋体" w:cs="宋体"/>
                <w:szCs w:val="21"/>
                <w:highlight w:val="none"/>
              </w:rPr>
            </w:pPr>
            <w:r>
              <w:rPr>
                <w:rFonts w:hint="eastAsia" w:ascii="宋体" w:hAnsi="宋体" w:cs="宋体"/>
                <w:szCs w:val="21"/>
                <w:highlight w:val="none"/>
              </w:rPr>
              <w:t>（2）资质要求</w:t>
            </w:r>
          </w:p>
        </w:tc>
        <w:tc>
          <w:tcPr>
            <w:tcW w:w="1786" w:type="dxa"/>
            <w:vAlign w:val="center"/>
          </w:tcPr>
          <w:p>
            <w:pPr>
              <w:widowControl w:val="0"/>
              <w:spacing w:line="360" w:lineRule="auto"/>
              <w:jc w:val="center"/>
              <w:rPr>
                <w:rFonts w:ascii="宋体" w:hAnsi="宋体" w:cs="宋体"/>
                <w:szCs w:val="21"/>
                <w:highlight w:val="none"/>
              </w:rPr>
            </w:pPr>
            <w:r>
              <w:rPr>
                <w:rStyle w:val="42"/>
                <w:rFonts w:hint="eastAsia" w:ascii="宋体" w:hAnsi="宋体" w:cs="宋体"/>
                <w:b w:val="0"/>
                <w:bCs w:val="0"/>
                <w:szCs w:val="21"/>
                <w:highlight w:val="none"/>
              </w:rPr>
              <w:t>☑不适用</w:t>
            </w:r>
          </w:p>
        </w:tc>
        <w:tc>
          <w:tcPr>
            <w:tcW w:w="5233" w:type="dxa"/>
            <w:vAlign w:val="center"/>
          </w:tcPr>
          <w:p>
            <w:pPr>
              <w:widowControl w:val="0"/>
              <w:spacing w:line="360" w:lineRule="auto"/>
              <w:jc w:val="center"/>
              <w:rPr>
                <w:rFonts w:ascii="宋体" w:hAnsi="宋体" w:cs="宋体"/>
                <w:szCs w:val="21"/>
                <w:highlight w:val="none"/>
              </w:rPr>
            </w:pPr>
            <w:r>
              <w:rPr>
                <w:rStyle w:val="42"/>
                <w:rFonts w:hint="eastAsia" w:ascii="宋体" w:hAnsi="宋体" w:cs="宋体"/>
                <w:b w:val="0"/>
                <w:bCs w:val="0"/>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1" w:type="dxa"/>
            <w:vAlign w:val="center"/>
          </w:tcPr>
          <w:p>
            <w:pPr>
              <w:widowControl w:val="0"/>
              <w:spacing w:line="360" w:lineRule="auto"/>
              <w:jc w:val="center"/>
              <w:rPr>
                <w:rFonts w:ascii="宋体" w:hAnsi="宋体" w:cs="宋体"/>
                <w:szCs w:val="21"/>
                <w:highlight w:val="none"/>
              </w:rPr>
            </w:pPr>
            <w:r>
              <w:rPr>
                <w:rFonts w:hint="eastAsia" w:ascii="宋体" w:hAnsi="宋体" w:cs="宋体"/>
                <w:szCs w:val="21"/>
                <w:highlight w:val="none"/>
              </w:rPr>
              <w:t>（3）财务要求</w:t>
            </w:r>
          </w:p>
        </w:tc>
        <w:tc>
          <w:tcPr>
            <w:tcW w:w="1786" w:type="dxa"/>
            <w:vAlign w:val="center"/>
          </w:tcPr>
          <w:p>
            <w:pPr>
              <w:widowControl w:val="0"/>
              <w:spacing w:line="360" w:lineRule="auto"/>
              <w:jc w:val="center"/>
              <w:rPr>
                <w:rFonts w:ascii="宋体" w:hAnsi="宋体" w:cs="宋体"/>
                <w:szCs w:val="21"/>
                <w:highlight w:val="none"/>
              </w:rPr>
            </w:pPr>
            <w:r>
              <w:rPr>
                <w:rStyle w:val="42"/>
                <w:rFonts w:hint="eastAsia" w:ascii="宋体" w:hAnsi="宋体" w:cs="宋体"/>
                <w:b w:val="0"/>
                <w:bCs w:val="0"/>
                <w:szCs w:val="21"/>
                <w:highlight w:val="none"/>
              </w:rPr>
              <w:t>☑不适用</w:t>
            </w:r>
          </w:p>
        </w:tc>
        <w:tc>
          <w:tcPr>
            <w:tcW w:w="5233" w:type="dxa"/>
            <w:vAlign w:val="center"/>
          </w:tcPr>
          <w:p>
            <w:pPr>
              <w:widowControl w:val="0"/>
              <w:spacing w:line="360" w:lineRule="auto"/>
              <w:jc w:val="center"/>
              <w:rPr>
                <w:rFonts w:ascii="宋体" w:hAnsi="宋体" w:cs="宋体"/>
                <w:szCs w:val="21"/>
                <w:highlight w:val="none"/>
              </w:rPr>
            </w:pPr>
            <w:r>
              <w:rPr>
                <w:rStyle w:val="42"/>
                <w:rFonts w:hint="eastAsia" w:ascii="宋体" w:hAnsi="宋体" w:cs="宋体"/>
                <w:b w:val="0"/>
                <w:bCs w:val="0"/>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1" w:type="dxa"/>
            <w:vAlign w:val="center"/>
          </w:tcPr>
          <w:p>
            <w:pPr>
              <w:widowControl w:val="0"/>
              <w:spacing w:line="360" w:lineRule="auto"/>
              <w:jc w:val="center"/>
              <w:rPr>
                <w:rFonts w:ascii="宋体" w:hAnsi="宋体" w:cs="宋体"/>
                <w:szCs w:val="21"/>
                <w:highlight w:val="none"/>
              </w:rPr>
            </w:pPr>
            <w:r>
              <w:rPr>
                <w:rFonts w:hint="eastAsia" w:ascii="宋体" w:hAnsi="宋体" w:cs="宋体"/>
                <w:szCs w:val="21"/>
                <w:highlight w:val="none"/>
              </w:rPr>
              <w:t>（4）业绩要求</w:t>
            </w:r>
          </w:p>
        </w:tc>
        <w:tc>
          <w:tcPr>
            <w:tcW w:w="1786" w:type="dxa"/>
            <w:vAlign w:val="center"/>
          </w:tcPr>
          <w:p>
            <w:pPr>
              <w:widowControl w:val="0"/>
              <w:spacing w:line="360" w:lineRule="auto"/>
              <w:jc w:val="center"/>
              <w:rPr>
                <w:rFonts w:ascii="宋体" w:hAnsi="宋体" w:cs="宋体"/>
                <w:b/>
                <w:bCs/>
                <w:szCs w:val="21"/>
                <w:highlight w:val="none"/>
              </w:rPr>
            </w:pPr>
            <w:r>
              <w:rPr>
                <w:rStyle w:val="42"/>
                <w:rFonts w:hint="eastAsia" w:ascii="宋体" w:hAnsi="宋体" w:cs="宋体"/>
                <w:szCs w:val="21"/>
                <w:highlight w:val="none"/>
              </w:rPr>
              <w:t>☑适用</w:t>
            </w:r>
          </w:p>
        </w:tc>
        <w:tc>
          <w:tcPr>
            <w:tcW w:w="5233" w:type="dxa"/>
            <w:vAlign w:val="center"/>
          </w:tcPr>
          <w:p>
            <w:pPr>
              <w:widowControl w:val="0"/>
              <w:spacing w:line="360" w:lineRule="auto"/>
              <w:jc w:val="center"/>
              <w:rPr>
                <w:rFonts w:ascii="宋体" w:hAnsi="宋体" w:cs="宋体"/>
                <w:szCs w:val="21"/>
                <w:highlight w:val="none"/>
              </w:rPr>
            </w:pPr>
            <w:r>
              <w:rPr>
                <w:rStyle w:val="42"/>
                <w:rFonts w:hint="eastAsia" w:ascii="宋体" w:hAnsi="宋体" w:cs="宋体"/>
                <w:b w:val="0"/>
                <w:bCs w:val="0"/>
                <w:szCs w:val="21"/>
                <w:highlight w:val="none"/>
              </w:rPr>
              <w:t>☑适用,见采购文件供应商须知前附表3.5（4）。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1" w:type="dxa"/>
            <w:vAlign w:val="center"/>
          </w:tcPr>
          <w:p>
            <w:pPr>
              <w:widowControl w:val="0"/>
              <w:spacing w:line="360" w:lineRule="auto"/>
              <w:jc w:val="center"/>
              <w:rPr>
                <w:rFonts w:ascii="宋体" w:hAnsi="宋体" w:cs="宋体"/>
                <w:szCs w:val="21"/>
                <w:highlight w:val="none"/>
              </w:rPr>
            </w:pPr>
            <w:r>
              <w:rPr>
                <w:rFonts w:hint="eastAsia" w:ascii="宋体" w:hAnsi="宋体" w:cs="宋体"/>
                <w:szCs w:val="21"/>
                <w:highlight w:val="none"/>
              </w:rPr>
              <w:t>（5）信誉要求</w:t>
            </w:r>
          </w:p>
        </w:tc>
        <w:tc>
          <w:tcPr>
            <w:tcW w:w="1786" w:type="dxa"/>
            <w:vAlign w:val="center"/>
          </w:tcPr>
          <w:p>
            <w:pPr>
              <w:widowControl w:val="0"/>
              <w:spacing w:line="360" w:lineRule="auto"/>
              <w:jc w:val="center"/>
              <w:rPr>
                <w:rFonts w:ascii="宋体" w:hAnsi="宋体" w:cs="宋体"/>
                <w:b/>
                <w:bCs/>
                <w:szCs w:val="21"/>
                <w:highlight w:val="none"/>
              </w:rPr>
            </w:pPr>
            <w:r>
              <w:rPr>
                <w:rStyle w:val="42"/>
                <w:rFonts w:hint="eastAsia" w:ascii="宋体" w:hAnsi="宋体" w:cs="宋体"/>
                <w:szCs w:val="21"/>
                <w:highlight w:val="none"/>
              </w:rPr>
              <w:t>☑适用</w:t>
            </w:r>
          </w:p>
        </w:tc>
        <w:tc>
          <w:tcPr>
            <w:tcW w:w="5233" w:type="dxa"/>
            <w:vAlign w:val="center"/>
          </w:tcPr>
          <w:p>
            <w:pPr>
              <w:widowControl w:val="0"/>
              <w:spacing w:line="360" w:lineRule="auto"/>
              <w:jc w:val="center"/>
              <w:rPr>
                <w:rFonts w:ascii="宋体" w:hAnsi="宋体" w:cs="宋体"/>
                <w:szCs w:val="21"/>
                <w:highlight w:val="none"/>
              </w:rPr>
            </w:pPr>
            <w:r>
              <w:rPr>
                <w:rStyle w:val="42"/>
                <w:rFonts w:hint="eastAsia" w:ascii="宋体" w:hAnsi="宋体" w:cs="宋体"/>
                <w:b w:val="0"/>
                <w:bCs w:val="0"/>
                <w:szCs w:val="21"/>
                <w:highlight w:val="none"/>
              </w:rPr>
              <w:t>☑适用,见采购文件供应商须知前附表3.5（5）。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1" w:type="dxa"/>
            <w:vAlign w:val="center"/>
          </w:tcPr>
          <w:p>
            <w:pPr>
              <w:widowControl w:val="0"/>
              <w:spacing w:line="360" w:lineRule="auto"/>
              <w:jc w:val="left"/>
              <w:rPr>
                <w:rFonts w:ascii="宋体" w:hAnsi="宋体" w:cs="宋体"/>
                <w:szCs w:val="21"/>
                <w:highlight w:val="none"/>
              </w:rPr>
            </w:pPr>
            <w:r>
              <w:rPr>
                <w:rFonts w:hint="eastAsia" w:ascii="宋体" w:hAnsi="宋体" w:cs="宋体"/>
                <w:szCs w:val="21"/>
                <w:highlight w:val="none"/>
              </w:rPr>
              <w:t>（6）承担本项目的主要人员要求</w:t>
            </w:r>
          </w:p>
        </w:tc>
        <w:tc>
          <w:tcPr>
            <w:tcW w:w="1786" w:type="dxa"/>
            <w:vAlign w:val="center"/>
          </w:tcPr>
          <w:p>
            <w:pPr>
              <w:widowControl w:val="0"/>
              <w:spacing w:line="360" w:lineRule="auto"/>
              <w:jc w:val="center"/>
              <w:rPr>
                <w:rFonts w:ascii="宋体" w:hAnsi="宋体" w:cs="宋体"/>
                <w:szCs w:val="21"/>
                <w:highlight w:val="none"/>
              </w:rPr>
            </w:pPr>
            <w:r>
              <w:rPr>
                <w:rStyle w:val="42"/>
                <w:rFonts w:hint="eastAsia" w:ascii="宋体" w:hAnsi="宋体" w:cs="宋体"/>
                <w:b w:val="0"/>
                <w:bCs w:val="0"/>
                <w:szCs w:val="21"/>
                <w:highlight w:val="none"/>
              </w:rPr>
              <w:t>☑不适用</w:t>
            </w:r>
          </w:p>
        </w:tc>
        <w:tc>
          <w:tcPr>
            <w:tcW w:w="5233" w:type="dxa"/>
            <w:vAlign w:val="center"/>
          </w:tcPr>
          <w:p>
            <w:pPr>
              <w:widowControl w:val="0"/>
              <w:spacing w:line="360" w:lineRule="auto"/>
              <w:jc w:val="center"/>
              <w:rPr>
                <w:rFonts w:ascii="宋体" w:hAnsi="宋体" w:cs="宋体"/>
                <w:szCs w:val="21"/>
                <w:highlight w:val="none"/>
              </w:rPr>
            </w:pPr>
            <w:r>
              <w:rPr>
                <w:rStyle w:val="42"/>
                <w:rFonts w:hint="eastAsia" w:ascii="宋体" w:hAnsi="宋体" w:cs="宋体"/>
                <w:b w:val="0"/>
                <w:bCs w:val="0"/>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1" w:type="dxa"/>
            <w:vAlign w:val="center"/>
          </w:tcPr>
          <w:p>
            <w:pPr>
              <w:widowControl w:val="0"/>
              <w:spacing w:line="360" w:lineRule="auto"/>
              <w:jc w:val="center"/>
              <w:rPr>
                <w:rFonts w:ascii="宋体" w:hAnsi="宋体" w:cs="宋体"/>
                <w:szCs w:val="21"/>
                <w:highlight w:val="none"/>
              </w:rPr>
            </w:pPr>
            <w:r>
              <w:rPr>
                <w:rFonts w:hint="eastAsia" w:ascii="宋体" w:hAnsi="宋体" w:cs="宋体"/>
                <w:szCs w:val="21"/>
                <w:highlight w:val="none"/>
              </w:rPr>
              <w:t>（7）其他要求</w:t>
            </w:r>
          </w:p>
        </w:tc>
        <w:tc>
          <w:tcPr>
            <w:tcW w:w="1786" w:type="dxa"/>
            <w:vAlign w:val="center"/>
          </w:tcPr>
          <w:p>
            <w:pPr>
              <w:widowControl w:val="0"/>
              <w:spacing w:line="360" w:lineRule="auto"/>
              <w:jc w:val="center"/>
              <w:rPr>
                <w:rFonts w:ascii="宋体" w:hAnsi="宋体" w:cs="宋体"/>
                <w:szCs w:val="21"/>
                <w:highlight w:val="none"/>
              </w:rPr>
            </w:pPr>
            <w:r>
              <w:rPr>
                <w:rStyle w:val="42"/>
                <w:rFonts w:hint="eastAsia" w:ascii="宋体" w:hAnsi="宋体" w:cs="宋体"/>
                <w:b w:val="0"/>
                <w:bCs w:val="0"/>
                <w:szCs w:val="21"/>
                <w:highlight w:val="none"/>
              </w:rPr>
              <w:t>☑不适用</w:t>
            </w:r>
          </w:p>
        </w:tc>
        <w:tc>
          <w:tcPr>
            <w:tcW w:w="5233" w:type="dxa"/>
            <w:vAlign w:val="center"/>
          </w:tcPr>
          <w:p>
            <w:pPr>
              <w:widowControl w:val="0"/>
              <w:spacing w:line="360" w:lineRule="auto"/>
              <w:jc w:val="center"/>
              <w:rPr>
                <w:rFonts w:ascii="宋体" w:hAnsi="宋体" w:cs="宋体"/>
                <w:szCs w:val="21"/>
                <w:highlight w:val="none"/>
              </w:rPr>
            </w:pPr>
            <w:r>
              <w:rPr>
                <w:rStyle w:val="42"/>
                <w:rFonts w:hint="eastAsia" w:ascii="宋体" w:hAnsi="宋体" w:cs="宋体"/>
                <w:b w:val="0"/>
                <w:bCs w:val="0"/>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1" w:type="dxa"/>
            <w:vAlign w:val="center"/>
          </w:tcPr>
          <w:p>
            <w:pPr>
              <w:widowControl w:val="0"/>
              <w:spacing w:line="360" w:lineRule="auto"/>
              <w:jc w:val="left"/>
              <w:rPr>
                <w:rFonts w:ascii="宋体" w:hAnsi="宋体" w:cs="宋体"/>
                <w:szCs w:val="21"/>
                <w:highlight w:val="none"/>
              </w:rPr>
            </w:pPr>
            <w:r>
              <w:rPr>
                <w:rFonts w:hint="eastAsia" w:ascii="宋体" w:hAnsi="宋体" w:cs="宋体"/>
                <w:szCs w:val="21"/>
                <w:highlight w:val="none"/>
              </w:rPr>
              <w:t>（8）供应商不存在第一章3.1款情形的证明材料</w:t>
            </w:r>
          </w:p>
        </w:tc>
        <w:tc>
          <w:tcPr>
            <w:tcW w:w="1786" w:type="dxa"/>
            <w:vAlign w:val="center"/>
          </w:tcPr>
          <w:p>
            <w:pPr>
              <w:widowControl w:val="0"/>
              <w:spacing w:line="360" w:lineRule="auto"/>
              <w:jc w:val="center"/>
              <w:rPr>
                <w:rFonts w:ascii="宋体" w:hAnsi="宋体" w:cs="宋体"/>
                <w:szCs w:val="21"/>
                <w:highlight w:val="none"/>
              </w:rPr>
            </w:pPr>
            <w:r>
              <w:rPr>
                <w:rStyle w:val="42"/>
                <w:rFonts w:hint="eastAsia" w:ascii="宋体" w:hAnsi="宋体" w:cs="宋体"/>
                <w:b w:val="0"/>
                <w:bCs w:val="0"/>
                <w:szCs w:val="21"/>
                <w:highlight w:val="none"/>
              </w:rPr>
              <w:t>☑不适用</w:t>
            </w:r>
          </w:p>
        </w:tc>
        <w:tc>
          <w:tcPr>
            <w:tcW w:w="5233" w:type="dxa"/>
            <w:vAlign w:val="center"/>
          </w:tcPr>
          <w:p>
            <w:pPr>
              <w:widowControl w:val="0"/>
              <w:spacing w:line="360" w:lineRule="auto"/>
              <w:jc w:val="center"/>
              <w:rPr>
                <w:rFonts w:ascii="宋体" w:hAnsi="宋体" w:cs="宋体"/>
                <w:szCs w:val="21"/>
                <w:highlight w:val="none"/>
              </w:rPr>
            </w:pPr>
            <w:r>
              <w:rPr>
                <w:rStyle w:val="42"/>
                <w:rFonts w:hint="eastAsia" w:ascii="宋体" w:hAnsi="宋体" w:cs="宋体"/>
                <w:b w:val="0"/>
                <w:bCs w:val="0"/>
                <w:szCs w:val="21"/>
                <w:highlight w:val="none"/>
              </w:rPr>
              <w:t>☑不适用</w:t>
            </w:r>
          </w:p>
        </w:tc>
      </w:tr>
    </w:tbl>
    <w:p>
      <w:pPr>
        <w:pStyle w:val="6"/>
        <w:spacing w:line="360" w:lineRule="auto"/>
        <w:jc w:val="both"/>
        <w:rPr>
          <w:rFonts w:ascii="Arial" w:hAnsi="Arial"/>
          <w:highlight w:val="none"/>
        </w:rPr>
      </w:pPr>
      <w:r>
        <w:rPr>
          <w:rFonts w:hint="eastAsia"/>
          <w:highlight w:val="none"/>
        </w:rPr>
        <w:t xml:space="preserve">4 </w:t>
      </w:r>
      <w:r>
        <w:rPr>
          <w:rFonts w:hint="eastAsia" w:ascii="黑体" w:hAnsi="黑体"/>
          <w:highlight w:val="none"/>
        </w:rPr>
        <w:t>响应保证金</w:t>
      </w:r>
    </w:p>
    <w:p>
      <w:pPr>
        <w:pStyle w:val="6"/>
        <w:spacing w:line="360" w:lineRule="auto"/>
        <w:jc w:val="both"/>
        <w:rPr>
          <w:rFonts w:hint="eastAsia" w:eastAsiaTheme="majorEastAsia"/>
          <w:b w:val="0"/>
          <w:bCs w:val="0"/>
          <w:sz w:val="24"/>
          <w:szCs w:val="24"/>
          <w:highlight w:val="none"/>
          <w:lang w:val="en-US" w:eastAsia="zh-CN"/>
        </w:rPr>
      </w:pPr>
      <w:r>
        <w:rPr>
          <w:rFonts w:hint="eastAsia"/>
          <w:b w:val="0"/>
          <w:bCs w:val="0"/>
          <w:sz w:val="24"/>
          <w:szCs w:val="24"/>
          <w:highlight w:val="none"/>
          <w:lang w:val="en-US" w:eastAsia="zh-CN"/>
        </w:rPr>
        <w:t>无</w:t>
      </w:r>
    </w:p>
    <w:p>
      <w:pPr>
        <w:pStyle w:val="6"/>
        <w:spacing w:line="360" w:lineRule="auto"/>
        <w:jc w:val="both"/>
        <w:rPr>
          <w:rFonts w:ascii="Arial" w:hAnsi="Arial"/>
          <w:highlight w:val="none"/>
        </w:rPr>
      </w:pPr>
      <w:r>
        <w:rPr>
          <w:rFonts w:hint="eastAsia"/>
          <w:highlight w:val="none"/>
        </w:rPr>
        <w:t>5</w:t>
      </w:r>
      <w:r>
        <w:rPr>
          <w:highlight w:val="none"/>
        </w:rPr>
        <w:t xml:space="preserve"> </w:t>
      </w:r>
      <w:r>
        <w:rPr>
          <w:rFonts w:hint="eastAsia" w:ascii="黑体" w:hAnsi="黑体"/>
          <w:highlight w:val="none"/>
        </w:rPr>
        <w:t>确定成交供应商的方法</w:t>
      </w:r>
    </w:p>
    <w:p>
      <w:pPr>
        <w:autoSpaceDE w:val="0"/>
        <w:spacing w:line="360" w:lineRule="auto"/>
        <w:jc w:val="both"/>
        <w:rPr>
          <w:rFonts w:ascii="宋体" w:hAnsi="宋体"/>
          <w:sz w:val="24"/>
          <w:highlight w:val="none"/>
        </w:rPr>
      </w:pPr>
      <w:r>
        <w:rPr>
          <w:rFonts w:hint="eastAsia" w:ascii="宋体" w:hAnsi="宋体"/>
          <w:b/>
          <w:bCs/>
          <w:sz w:val="24"/>
          <w:highlight w:val="none"/>
        </w:rPr>
        <w:t>5.1</w:t>
      </w:r>
      <w:r>
        <w:rPr>
          <w:rStyle w:val="42"/>
          <w:rFonts w:hint="eastAsia"/>
          <w:highlight w:val="none"/>
        </w:rPr>
        <w:t>综合评分法</w:t>
      </w:r>
    </w:p>
    <w:p>
      <w:pPr>
        <w:autoSpaceDE w:val="0"/>
        <w:spacing w:line="360" w:lineRule="auto"/>
        <w:jc w:val="both"/>
        <w:rPr>
          <w:rFonts w:ascii="宋体" w:hAnsi="宋体"/>
          <w:sz w:val="24"/>
          <w:highlight w:val="none"/>
        </w:rPr>
      </w:pPr>
      <w:r>
        <w:rPr>
          <w:rFonts w:hint="eastAsia" w:ascii="宋体" w:hAnsi="宋体"/>
          <w:b/>
          <w:bCs/>
          <w:sz w:val="24"/>
          <w:highlight w:val="none"/>
        </w:rPr>
        <w:t>5.2</w:t>
      </w:r>
      <w:r>
        <w:rPr>
          <w:rFonts w:hint="eastAsia" w:ascii="宋体" w:hAnsi="宋体"/>
          <w:sz w:val="24"/>
          <w:highlight w:val="none"/>
        </w:rPr>
        <w:t xml:space="preserve"> 采购人应当确定排名第一的成交候选供应商为成交供应商。若排名第一的成交候选供应商未通过履约能力和报价核查，采购人应按推荐的名单排序依次确定其他成交候选供应商为成交供应商。 </w:t>
      </w:r>
    </w:p>
    <w:p>
      <w:pPr>
        <w:pStyle w:val="6"/>
        <w:spacing w:line="360" w:lineRule="auto"/>
        <w:jc w:val="both"/>
        <w:rPr>
          <w:rFonts w:ascii="Arial" w:hAnsi="Arial"/>
          <w:highlight w:val="none"/>
        </w:rPr>
      </w:pPr>
      <w:r>
        <w:rPr>
          <w:rFonts w:hint="eastAsia"/>
          <w:highlight w:val="none"/>
        </w:rPr>
        <w:t>6</w:t>
      </w:r>
      <w:r>
        <w:rPr>
          <w:rFonts w:hint="eastAsia" w:ascii="黑体" w:hAnsi="黑体"/>
          <w:highlight w:val="none"/>
        </w:rPr>
        <w:t>采购文件获取</w:t>
      </w:r>
    </w:p>
    <w:p>
      <w:pPr>
        <w:autoSpaceDE w:val="0"/>
        <w:spacing w:line="360" w:lineRule="auto"/>
        <w:jc w:val="both"/>
        <w:rPr>
          <w:rFonts w:ascii="宋体" w:hAnsi="宋体"/>
          <w:sz w:val="24"/>
          <w:highlight w:val="none"/>
        </w:rPr>
      </w:pPr>
      <w:r>
        <w:rPr>
          <w:rFonts w:hint="eastAsia" w:ascii="宋体" w:hAnsi="宋体"/>
          <w:b/>
          <w:bCs/>
          <w:sz w:val="24"/>
          <w:highlight w:val="none"/>
        </w:rPr>
        <w:t xml:space="preserve">6.1 </w:t>
      </w:r>
      <w:r>
        <w:rPr>
          <w:rFonts w:hint="eastAsia" w:ascii="宋体" w:hAnsi="宋体"/>
          <w:sz w:val="24"/>
          <w:highlight w:val="none"/>
        </w:rPr>
        <w:t>供应商应当于</w:t>
      </w:r>
      <w:r>
        <w:rPr>
          <w:rFonts w:hint="eastAsia" w:ascii="宋体" w:hAnsi="宋体"/>
          <w:sz w:val="24"/>
          <w:highlight w:val="none"/>
          <w:u w:val="single"/>
        </w:rPr>
        <w:t>2023年</w:t>
      </w:r>
      <w:r>
        <w:rPr>
          <w:rFonts w:hint="eastAsia" w:ascii="宋体" w:hAnsi="宋体"/>
          <w:sz w:val="24"/>
          <w:highlight w:val="none"/>
          <w:u w:val="single"/>
          <w:lang w:val="en-US" w:eastAsia="zh-CN"/>
        </w:rPr>
        <w:t>3</w:t>
      </w:r>
      <w:r>
        <w:rPr>
          <w:rFonts w:hint="eastAsia" w:ascii="宋体" w:hAnsi="宋体"/>
          <w:sz w:val="24"/>
          <w:highlight w:val="none"/>
          <w:u w:val="single"/>
        </w:rPr>
        <w:t>月</w:t>
      </w:r>
      <w:r>
        <w:rPr>
          <w:rFonts w:hint="eastAsia" w:ascii="宋体" w:hAnsi="宋体"/>
          <w:sz w:val="24"/>
          <w:highlight w:val="none"/>
          <w:u w:val="single"/>
          <w:lang w:val="en-US" w:eastAsia="zh-CN"/>
        </w:rPr>
        <w:t>30</w:t>
      </w:r>
      <w:r>
        <w:rPr>
          <w:rFonts w:hint="eastAsia" w:ascii="宋体" w:hAnsi="宋体"/>
          <w:sz w:val="24"/>
          <w:highlight w:val="none"/>
          <w:u w:val="single"/>
        </w:rPr>
        <w:t>日</w:t>
      </w:r>
      <w:r>
        <w:rPr>
          <w:rFonts w:hint="eastAsia" w:ascii="宋体" w:hAnsi="宋体"/>
          <w:sz w:val="24"/>
          <w:highlight w:val="none"/>
        </w:rPr>
        <w:t>至</w:t>
      </w:r>
      <w:r>
        <w:rPr>
          <w:rFonts w:hint="eastAsia" w:ascii="宋体" w:hAnsi="宋体"/>
          <w:sz w:val="24"/>
          <w:highlight w:val="none"/>
          <w:u w:val="single"/>
        </w:rPr>
        <w:t>2023年</w:t>
      </w:r>
      <w:r>
        <w:rPr>
          <w:rFonts w:hint="eastAsia" w:ascii="宋体" w:hAnsi="宋体"/>
          <w:sz w:val="24"/>
          <w:highlight w:val="none"/>
          <w:u w:val="single"/>
          <w:lang w:val="en-US" w:eastAsia="zh-CN"/>
        </w:rPr>
        <w:t>4</w:t>
      </w:r>
      <w:r>
        <w:rPr>
          <w:rFonts w:hint="eastAsia" w:ascii="宋体" w:hAnsi="宋体"/>
          <w:sz w:val="24"/>
          <w:highlight w:val="none"/>
          <w:u w:val="single"/>
        </w:rPr>
        <w:t>月</w:t>
      </w:r>
      <w:r>
        <w:rPr>
          <w:rFonts w:hint="eastAsia" w:ascii="宋体" w:hAnsi="宋体"/>
          <w:sz w:val="24"/>
          <w:highlight w:val="none"/>
          <w:u w:val="single"/>
          <w:lang w:val="en-US" w:eastAsia="zh-CN"/>
        </w:rPr>
        <w:t>5</w:t>
      </w:r>
      <w:r>
        <w:rPr>
          <w:rFonts w:hint="eastAsia" w:ascii="宋体" w:hAnsi="宋体"/>
          <w:sz w:val="24"/>
          <w:highlight w:val="none"/>
          <w:u w:val="single"/>
        </w:rPr>
        <w:t>日</w:t>
      </w:r>
      <w:r>
        <w:rPr>
          <w:rFonts w:hint="eastAsia" w:ascii="宋体" w:hAnsi="宋体"/>
          <w:sz w:val="24"/>
          <w:highlight w:val="none"/>
        </w:rPr>
        <w:t>，在</w:t>
      </w:r>
      <w:r>
        <w:rPr>
          <w:rFonts w:hint="eastAsia" w:ascii="宋体" w:hAnsi="宋体" w:cs="宋体"/>
          <w:sz w:val="24"/>
          <w:highlight w:val="none"/>
        </w:rPr>
        <w:t>湖南省湘水集团有限公司网站（http：//www.hnsxsjt.com）、湖南省港务集团有限公司门户网站（http://www.hnsgwjt.com/）上</w:t>
      </w:r>
      <w:r>
        <w:rPr>
          <w:rFonts w:hint="eastAsia" w:ascii="宋体" w:hAnsi="宋体"/>
          <w:sz w:val="24"/>
          <w:highlight w:val="none"/>
        </w:rPr>
        <w:t>获取采购文件。</w:t>
      </w:r>
    </w:p>
    <w:p>
      <w:pPr>
        <w:spacing w:line="360" w:lineRule="auto"/>
        <w:jc w:val="both"/>
        <w:rPr>
          <w:rFonts w:ascii="宋体" w:hAnsi="宋体" w:cs="宋体"/>
          <w:color w:val="000000"/>
          <w:sz w:val="24"/>
          <w:highlight w:val="none"/>
          <w:u w:val="single"/>
        </w:rPr>
      </w:pPr>
      <w:r>
        <w:rPr>
          <w:rFonts w:hint="eastAsia" w:ascii="宋体" w:hAnsi="宋体"/>
          <w:b/>
          <w:bCs/>
          <w:sz w:val="24"/>
          <w:highlight w:val="none"/>
        </w:rPr>
        <w:t xml:space="preserve">6.2 </w:t>
      </w:r>
      <w:r>
        <w:rPr>
          <w:rFonts w:hint="eastAsia" w:ascii="宋体" w:hAnsi="宋体" w:cs="宋体"/>
          <w:sz w:val="24"/>
          <w:highlight w:val="none"/>
        </w:rPr>
        <w:t>响应文件递交</w:t>
      </w:r>
      <w:r>
        <w:rPr>
          <w:rFonts w:hint="eastAsia" w:ascii="宋体" w:hAnsi="宋体" w:cs="宋体"/>
          <w:color w:val="000000"/>
          <w:sz w:val="24"/>
          <w:highlight w:val="none"/>
        </w:rPr>
        <w:t>截止时间：</w:t>
      </w:r>
      <w:r>
        <w:rPr>
          <w:rFonts w:hint="eastAsia" w:ascii="宋体" w:hAnsi="宋体" w:cs="宋体"/>
          <w:color w:val="000000"/>
          <w:sz w:val="24"/>
          <w:highlight w:val="none"/>
          <w:u w:val="single"/>
        </w:rPr>
        <w:t>2023年</w:t>
      </w:r>
      <w:r>
        <w:rPr>
          <w:rFonts w:hint="eastAsia" w:ascii="宋体" w:hAnsi="宋体" w:cs="宋体"/>
          <w:color w:val="000000"/>
          <w:sz w:val="24"/>
          <w:highlight w:val="none"/>
          <w:u w:val="single"/>
          <w:lang w:val="en-US" w:eastAsia="zh-CN"/>
        </w:rPr>
        <w:t>4</w:t>
      </w:r>
      <w:r>
        <w:rPr>
          <w:rFonts w:hint="eastAsia" w:ascii="宋体" w:hAnsi="宋体" w:cs="宋体"/>
          <w:color w:val="000000"/>
          <w:sz w:val="24"/>
          <w:highlight w:val="none"/>
          <w:u w:val="single"/>
        </w:rPr>
        <w:t>月</w:t>
      </w:r>
      <w:r>
        <w:rPr>
          <w:rFonts w:hint="eastAsia" w:ascii="宋体" w:hAnsi="宋体" w:cs="宋体"/>
          <w:color w:val="000000"/>
          <w:sz w:val="24"/>
          <w:highlight w:val="none"/>
          <w:u w:val="single"/>
          <w:lang w:val="en-US" w:eastAsia="zh-CN"/>
        </w:rPr>
        <w:t>6</w:t>
      </w:r>
      <w:r>
        <w:rPr>
          <w:rFonts w:hint="eastAsia" w:ascii="宋体" w:hAnsi="宋体" w:cs="宋体"/>
          <w:color w:val="000000"/>
          <w:sz w:val="24"/>
          <w:highlight w:val="none"/>
          <w:u w:val="single"/>
        </w:rPr>
        <w:t>日17时30分；</w:t>
      </w:r>
    </w:p>
    <w:p>
      <w:pPr>
        <w:pStyle w:val="38"/>
        <w:rPr>
          <w:rFonts w:eastAsiaTheme="minorEastAsia"/>
          <w:szCs w:val="24"/>
          <w:highlight w:val="none"/>
        </w:rPr>
      </w:pPr>
      <w:r>
        <w:rPr>
          <w:rFonts w:hint="eastAsia" w:hAnsi="宋体" w:cs="宋体"/>
          <w:color w:val="000000"/>
          <w:szCs w:val="24"/>
          <w:highlight w:val="none"/>
        </w:rPr>
        <w:t>递交响应文件的地点：</w:t>
      </w:r>
      <w:r>
        <w:rPr>
          <w:rFonts w:hint="eastAsia" w:cs="宋体" w:asciiTheme="minorEastAsia" w:hAnsiTheme="minorEastAsia" w:eastAsiaTheme="minorEastAsia"/>
          <w:color w:val="000000"/>
          <w:szCs w:val="24"/>
          <w:highlight w:val="none"/>
          <w:u w:val="single"/>
        </w:rPr>
        <w:t>湖南省岳阳市岳阳楼区长江路2号城陵矶港办公楼418室</w:t>
      </w:r>
      <w:r>
        <w:rPr>
          <w:rFonts w:hint="eastAsia" w:cs="宋体" w:asciiTheme="minorEastAsia" w:hAnsiTheme="minorEastAsia" w:eastAsiaTheme="minorEastAsia"/>
          <w:color w:val="000000"/>
          <w:szCs w:val="24"/>
          <w:highlight w:val="none"/>
        </w:rPr>
        <w:t>。</w:t>
      </w:r>
    </w:p>
    <w:p>
      <w:pPr>
        <w:autoSpaceDE w:val="0"/>
        <w:spacing w:line="360" w:lineRule="auto"/>
        <w:jc w:val="both"/>
        <w:rPr>
          <w:rFonts w:ascii="宋体" w:hAnsi="宋体"/>
          <w:sz w:val="24"/>
          <w:highlight w:val="none"/>
        </w:rPr>
      </w:pPr>
      <w:r>
        <w:rPr>
          <w:rFonts w:hint="eastAsia" w:ascii="宋体" w:hAnsi="宋体"/>
          <w:b/>
          <w:bCs/>
          <w:sz w:val="24"/>
          <w:highlight w:val="none"/>
        </w:rPr>
        <w:t xml:space="preserve">6.3 </w:t>
      </w:r>
      <w:r>
        <w:rPr>
          <w:rFonts w:hint="eastAsia" w:ascii="宋体" w:hAnsi="宋体"/>
          <w:sz w:val="24"/>
          <w:highlight w:val="none"/>
        </w:rPr>
        <w:t>供应商若对本项目采购需求、资格要求等有疑问的，应当于</w:t>
      </w:r>
      <w:r>
        <w:rPr>
          <w:rFonts w:hint="eastAsia" w:ascii="宋体" w:hAnsi="宋体"/>
          <w:sz w:val="24"/>
          <w:highlight w:val="none"/>
          <w:u w:val="single"/>
        </w:rPr>
        <w:t>2023年</w:t>
      </w:r>
      <w:r>
        <w:rPr>
          <w:rFonts w:hint="eastAsia" w:ascii="宋体" w:hAnsi="宋体"/>
          <w:sz w:val="24"/>
          <w:highlight w:val="none"/>
          <w:u w:val="single"/>
          <w:lang w:val="en-US" w:eastAsia="zh-CN"/>
        </w:rPr>
        <w:t>4</w:t>
      </w:r>
      <w:r>
        <w:rPr>
          <w:rFonts w:hint="eastAsia" w:ascii="宋体" w:hAnsi="宋体"/>
          <w:sz w:val="24"/>
          <w:highlight w:val="none"/>
          <w:u w:val="single"/>
        </w:rPr>
        <w:t>月</w:t>
      </w:r>
      <w:r>
        <w:rPr>
          <w:rFonts w:hint="eastAsia" w:ascii="宋体" w:hAnsi="宋体"/>
          <w:sz w:val="24"/>
          <w:highlight w:val="none"/>
          <w:u w:val="single"/>
          <w:lang w:val="en-US" w:eastAsia="zh-CN"/>
        </w:rPr>
        <w:t>6</w:t>
      </w:r>
      <w:r>
        <w:rPr>
          <w:rFonts w:hint="eastAsia" w:ascii="宋体" w:hAnsi="宋体"/>
          <w:sz w:val="24"/>
          <w:highlight w:val="none"/>
          <w:u w:val="single"/>
        </w:rPr>
        <w:t>日17时30分</w:t>
      </w:r>
      <w:r>
        <w:rPr>
          <w:rFonts w:hint="eastAsia" w:ascii="宋体" w:hAnsi="宋体"/>
          <w:sz w:val="24"/>
          <w:highlight w:val="none"/>
        </w:rPr>
        <w:t>前向采购人提出澄清要求。</w:t>
      </w:r>
    </w:p>
    <w:p>
      <w:pPr>
        <w:pStyle w:val="6"/>
        <w:spacing w:line="360" w:lineRule="auto"/>
        <w:jc w:val="both"/>
        <w:rPr>
          <w:highlight w:val="none"/>
        </w:rPr>
      </w:pPr>
      <w:r>
        <w:rPr>
          <w:rFonts w:hint="eastAsia"/>
          <w:highlight w:val="none"/>
        </w:rPr>
        <w:t>7</w:t>
      </w:r>
      <w:r>
        <w:rPr>
          <w:highlight w:val="none"/>
        </w:rPr>
        <w:t xml:space="preserve"> </w:t>
      </w:r>
      <w:r>
        <w:rPr>
          <w:rFonts w:hint="eastAsia"/>
          <w:highlight w:val="none"/>
        </w:rPr>
        <w:t>发布</w:t>
      </w:r>
      <w:r>
        <w:rPr>
          <w:rFonts w:hint="eastAsia" w:ascii="黑体" w:hAnsi="黑体"/>
          <w:highlight w:val="none"/>
        </w:rPr>
        <w:t>公告的</w:t>
      </w:r>
      <w:r>
        <w:rPr>
          <w:rFonts w:hint="eastAsia"/>
          <w:highlight w:val="none"/>
        </w:rPr>
        <w:t>媒介</w:t>
      </w:r>
    </w:p>
    <w:p>
      <w:pPr>
        <w:widowControl w:val="0"/>
        <w:spacing w:line="360" w:lineRule="auto"/>
        <w:ind w:firstLine="240" w:firstLineChars="100"/>
        <w:rPr>
          <w:rFonts w:ascii="宋体" w:hAnsi="宋体" w:cs="宋体"/>
          <w:sz w:val="24"/>
          <w:highlight w:val="none"/>
        </w:rPr>
      </w:pPr>
      <w:r>
        <w:rPr>
          <w:rFonts w:hint="eastAsia" w:ascii="宋体" w:hAnsi="宋体"/>
          <w:bCs/>
          <w:sz w:val="24"/>
          <w:highlight w:val="none"/>
        </w:rPr>
        <w:t>本次采购公告</w:t>
      </w:r>
      <w:r>
        <w:rPr>
          <w:rFonts w:hint="eastAsia" w:ascii="宋体" w:hAnsi="宋体"/>
          <w:sz w:val="24"/>
          <w:highlight w:val="none"/>
        </w:rPr>
        <w:t>发布的媒介:</w:t>
      </w:r>
      <w:r>
        <w:rPr>
          <w:rFonts w:hint="eastAsia" w:ascii="宋体" w:hAnsi="宋体" w:cs="宋体"/>
          <w:sz w:val="24"/>
          <w:highlight w:val="none"/>
        </w:rPr>
        <w:t xml:space="preserve"> 中国招标投标公共服务平台（http：//www.cebpubservice.com）、湖南省湘水集团有限公司网站（http：//www.hnsxsjt.com）、湖南省港务集团有限公司门户网站（http://www.hnsgwjt.com/）上发布。</w:t>
      </w:r>
    </w:p>
    <w:p>
      <w:pPr>
        <w:pStyle w:val="6"/>
        <w:spacing w:line="360" w:lineRule="auto"/>
        <w:jc w:val="both"/>
        <w:rPr>
          <w:highlight w:val="none"/>
        </w:rPr>
      </w:pPr>
      <w:r>
        <w:rPr>
          <w:rFonts w:hint="eastAsia"/>
          <w:highlight w:val="none"/>
        </w:rPr>
        <w:t>8</w:t>
      </w:r>
      <w:bookmarkStart w:id="2" w:name="_Toc77254104"/>
      <w:bookmarkStart w:id="3" w:name="_Toc76635692"/>
      <w:bookmarkStart w:id="4" w:name="_Toc512257471"/>
      <w:bookmarkStart w:id="5" w:name="_Toc79596547"/>
      <w:r>
        <w:rPr>
          <w:highlight w:val="none"/>
        </w:rPr>
        <w:t xml:space="preserve"> 监督</w:t>
      </w:r>
      <w:bookmarkEnd w:id="2"/>
      <w:bookmarkEnd w:id="3"/>
      <w:bookmarkEnd w:id="4"/>
      <w:r>
        <w:rPr>
          <w:rFonts w:hint="eastAsia"/>
          <w:highlight w:val="none"/>
        </w:rPr>
        <w:t>部门</w:t>
      </w:r>
      <w:bookmarkEnd w:id="5"/>
    </w:p>
    <w:p>
      <w:pPr>
        <w:spacing w:line="360" w:lineRule="auto"/>
        <w:ind w:firstLine="480" w:firstLineChars="200"/>
        <w:rPr>
          <w:rFonts w:ascii="宋体" w:hAnsi="宋体" w:cs="宋体"/>
          <w:sz w:val="24"/>
          <w:highlight w:val="none"/>
        </w:rPr>
      </w:pPr>
      <w:r>
        <w:rPr>
          <w:rFonts w:hint="eastAsia" w:ascii="宋体" w:hAnsi="宋体" w:cs="宋体"/>
          <w:sz w:val="24"/>
          <w:highlight w:val="none"/>
        </w:rPr>
        <w:t>本次采购监督部门为</w:t>
      </w:r>
      <w:r>
        <w:rPr>
          <w:rFonts w:hint="eastAsia" w:ascii="宋体" w:hAnsi="宋体" w:cs="宋体"/>
          <w:bCs/>
          <w:sz w:val="24"/>
          <w:highlight w:val="none"/>
          <w:u w:val="single"/>
        </w:rPr>
        <w:t>岳阳城陵矶港务有限责任公司纪委</w:t>
      </w:r>
      <w:r>
        <w:rPr>
          <w:rFonts w:hint="eastAsia" w:ascii="宋体" w:hAnsi="宋体" w:cs="宋体"/>
          <w:bCs/>
          <w:sz w:val="24"/>
          <w:highlight w:val="none"/>
        </w:rPr>
        <w:t>，</w:t>
      </w:r>
      <w:r>
        <w:rPr>
          <w:rFonts w:hint="eastAsia" w:ascii="宋体" w:hAnsi="宋体" w:cs="宋体"/>
          <w:sz w:val="24"/>
          <w:highlight w:val="none"/>
        </w:rPr>
        <w:t>电话：</w:t>
      </w:r>
      <w:r>
        <w:rPr>
          <w:rFonts w:hint="eastAsia" w:ascii="宋体" w:hAnsi="宋体" w:cs="宋体"/>
          <w:sz w:val="24"/>
          <w:highlight w:val="none"/>
          <w:u w:val="single"/>
        </w:rPr>
        <w:t>0730-3050153</w:t>
      </w:r>
      <w:r>
        <w:rPr>
          <w:rFonts w:hint="eastAsia" w:ascii="宋体" w:hAnsi="宋体" w:cs="宋体"/>
          <w:sz w:val="24"/>
          <w:highlight w:val="none"/>
        </w:rPr>
        <w:t>。</w:t>
      </w:r>
    </w:p>
    <w:p>
      <w:pPr>
        <w:pStyle w:val="6"/>
        <w:spacing w:line="360" w:lineRule="auto"/>
        <w:jc w:val="both"/>
        <w:rPr>
          <w:rFonts w:ascii="Arial" w:hAnsi="Arial"/>
          <w:highlight w:val="none"/>
        </w:rPr>
      </w:pPr>
      <w:r>
        <w:rPr>
          <w:highlight w:val="none"/>
        </w:rPr>
        <w:t>9</w:t>
      </w:r>
      <w:r>
        <w:rPr>
          <w:rFonts w:hint="eastAsia"/>
          <w:highlight w:val="none"/>
        </w:rPr>
        <w:t xml:space="preserve"> </w:t>
      </w:r>
      <w:r>
        <w:rPr>
          <w:rFonts w:hint="eastAsia" w:ascii="黑体" w:hAnsi="黑体"/>
          <w:highlight w:val="none"/>
        </w:rPr>
        <w:t>其他</w:t>
      </w:r>
    </w:p>
    <w:p>
      <w:pPr>
        <w:autoSpaceDE w:val="0"/>
        <w:spacing w:line="360" w:lineRule="auto"/>
        <w:jc w:val="both"/>
        <w:rPr>
          <w:rFonts w:ascii="宋体" w:hAnsi="宋体"/>
          <w:sz w:val="24"/>
          <w:highlight w:val="none"/>
        </w:rPr>
      </w:pPr>
      <w:r>
        <w:rPr>
          <w:rFonts w:hint="eastAsia" w:ascii="宋体" w:hAnsi="宋体"/>
          <w:b/>
          <w:bCs/>
          <w:sz w:val="24"/>
          <w:highlight w:val="none"/>
        </w:rPr>
        <w:t>9.1</w:t>
      </w:r>
      <w:r>
        <w:rPr>
          <w:rFonts w:hint="eastAsia" w:ascii="宋体" w:hAnsi="宋体"/>
          <w:sz w:val="24"/>
          <w:highlight w:val="none"/>
        </w:rPr>
        <w:t xml:space="preserve">采购人在签署采购合同时及合同履行过程中，有权对采购标的的数量进行增加或减少的幅度: </w:t>
      </w:r>
      <w:r>
        <w:rPr>
          <w:rFonts w:hint="eastAsia" w:ascii="宋体" w:hAnsi="宋体"/>
          <w:sz w:val="24"/>
          <w:highlight w:val="none"/>
          <w:u w:val="single"/>
        </w:rPr>
        <w:t>10%</w:t>
      </w:r>
      <w:r>
        <w:rPr>
          <w:rFonts w:hint="eastAsia" w:ascii="宋体" w:hAnsi="宋体"/>
          <w:sz w:val="24"/>
          <w:highlight w:val="none"/>
        </w:rPr>
        <w:t>。</w:t>
      </w:r>
    </w:p>
    <w:p>
      <w:pPr>
        <w:autoSpaceDE w:val="0"/>
        <w:spacing w:line="360" w:lineRule="auto"/>
        <w:jc w:val="both"/>
        <w:rPr>
          <w:rFonts w:ascii="宋体" w:hAnsi="宋体"/>
          <w:sz w:val="24"/>
          <w:highlight w:val="none"/>
        </w:rPr>
      </w:pPr>
      <w:r>
        <w:rPr>
          <w:rFonts w:hint="eastAsia" w:ascii="宋体" w:hAnsi="宋体"/>
          <w:b/>
          <w:bCs/>
          <w:sz w:val="24"/>
          <w:highlight w:val="none"/>
        </w:rPr>
        <w:t>9.2</w:t>
      </w:r>
      <w:r>
        <w:rPr>
          <w:rFonts w:hint="eastAsia" w:ascii="宋体" w:hAnsi="宋体"/>
          <w:sz w:val="24"/>
          <w:highlight w:val="none"/>
        </w:rPr>
        <w:t>项目控制价：</w:t>
      </w:r>
      <w:r>
        <w:rPr>
          <w:rFonts w:hint="eastAsia" w:ascii="宋体" w:hAnsi="宋体" w:cs="宋体"/>
          <w:sz w:val="24"/>
          <w:highlight w:val="none"/>
        </w:rPr>
        <w:t>本项目最高限价为</w:t>
      </w:r>
      <w:r>
        <w:rPr>
          <w:rFonts w:hint="eastAsia" w:ascii="宋体" w:hAnsi="宋体" w:cs="宋体"/>
          <w:sz w:val="24"/>
          <w:highlight w:val="none"/>
          <w:u w:val="single"/>
        </w:rPr>
        <w:t>肆拾</w:t>
      </w:r>
      <w:r>
        <w:rPr>
          <w:rFonts w:hint="eastAsia" w:ascii="宋体" w:hAnsi="宋体" w:cs="宋体"/>
          <w:sz w:val="24"/>
          <w:highlight w:val="none"/>
          <w:u w:val="single"/>
          <w:lang w:eastAsia="zh-CN"/>
        </w:rPr>
        <w:t>玖</w:t>
      </w:r>
      <w:r>
        <w:rPr>
          <w:rFonts w:hint="eastAsia" w:ascii="宋体" w:hAnsi="宋体" w:cs="宋体"/>
          <w:sz w:val="24"/>
          <w:highlight w:val="none"/>
          <w:u w:val="single"/>
        </w:rPr>
        <w:t>万伍仟圆整</w:t>
      </w:r>
      <w:r>
        <w:rPr>
          <w:rFonts w:hint="eastAsia" w:ascii="宋体" w:hAnsi="宋体" w:cs="宋体"/>
          <w:sz w:val="24"/>
          <w:highlight w:val="none"/>
        </w:rPr>
        <w:t>（小写：</w:t>
      </w:r>
      <w:r>
        <w:rPr>
          <w:rFonts w:ascii="Arial" w:hAnsi="Arial" w:cs="Arial"/>
          <w:sz w:val="24"/>
          <w:highlight w:val="none"/>
        </w:rPr>
        <w:t>¥</w:t>
      </w:r>
      <w:r>
        <w:rPr>
          <w:rFonts w:hint="eastAsia" w:ascii="宋体" w:hAnsi="宋体" w:cs="宋体"/>
          <w:sz w:val="24"/>
          <w:highlight w:val="none"/>
        </w:rPr>
        <w:t>4</w:t>
      </w:r>
      <w:r>
        <w:rPr>
          <w:rFonts w:hint="eastAsia" w:ascii="宋体" w:hAnsi="宋体" w:cs="宋体"/>
          <w:sz w:val="24"/>
          <w:highlight w:val="none"/>
          <w:lang w:val="en-US" w:eastAsia="zh-CN"/>
        </w:rPr>
        <w:t>9</w:t>
      </w:r>
      <w:r>
        <w:rPr>
          <w:rFonts w:hint="eastAsia" w:ascii="宋体" w:hAnsi="宋体" w:cs="宋体"/>
          <w:sz w:val="24"/>
          <w:highlight w:val="none"/>
        </w:rPr>
        <w:t>5000.00元)，税金包含在内，提供13%的增值税专用发票，超过最高限价的作废。</w:t>
      </w:r>
    </w:p>
    <w:p>
      <w:pPr>
        <w:pStyle w:val="6"/>
        <w:spacing w:line="360" w:lineRule="auto"/>
        <w:jc w:val="both"/>
        <w:rPr>
          <w:rFonts w:ascii="Arial" w:hAnsi="Arial"/>
          <w:highlight w:val="none"/>
        </w:rPr>
      </w:pPr>
      <w:r>
        <w:rPr>
          <w:highlight w:val="none"/>
        </w:rPr>
        <w:t>10</w:t>
      </w:r>
      <w:r>
        <w:rPr>
          <w:rFonts w:hint="eastAsia"/>
          <w:highlight w:val="none"/>
        </w:rPr>
        <w:t xml:space="preserve"> </w:t>
      </w:r>
      <w:r>
        <w:rPr>
          <w:rFonts w:hint="eastAsia" w:ascii="黑体" w:hAnsi="黑体"/>
          <w:highlight w:val="none"/>
        </w:rPr>
        <w:t>联系方式</w:t>
      </w:r>
    </w:p>
    <w:p>
      <w:pPr>
        <w:adjustRightInd w:val="0"/>
        <w:spacing w:line="360" w:lineRule="auto"/>
        <w:ind w:firstLine="480" w:firstLineChars="200"/>
        <w:rPr>
          <w:rFonts w:ascii="宋体" w:hAnsi="宋体" w:cs="宋体"/>
          <w:sz w:val="24"/>
          <w:highlight w:val="none"/>
        </w:rPr>
      </w:pPr>
      <w:r>
        <w:rPr>
          <w:rFonts w:hint="eastAsia" w:ascii="宋体" w:hAnsi="宋体" w:cs="宋体"/>
          <w:sz w:val="24"/>
          <w:highlight w:val="none"/>
        </w:rPr>
        <w:t>采购人：岳阳城陵矶港务有限责任公司</w:t>
      </w:r>
    </w:p>
    <w:p>
      <w:pPr>
        <w:adjustRightInd w:val="0"/>
        <w:spacing w:line="360" w:lineRule="auto"/>
        <w:ind w:firstLine="480" w:firstLineChars="200"/>
        <w:rPr>
          <w:rFonts w:ascii="宋体" w:hAnsi="宋体" w:cs="宋体"/>
          <w:sz w:val="24"/>
          <w:highlight w:val="none"/>
        </w:rPr>
      </w:pPr>
      <w:r>
        <w:rPr>
          <w:rFonts w:hint="eastAsia" w:ascii="宋体" w:hAnsi="宋体" w:cs="宋体"/>
          <w:sz w:val="24"/>
          <w:highlight w:val="none"/>
        </w:rPr>
        <w:t>地  址：湖南岳阳城陵矶长江路</w:t>
      </w:r>
      <w:r>
        <w:rPr>
          <w:rFonts w:ascii="宋体" w:hAnsi="宋体" w:cs="宋体"/>
          <w:sz w:val="24"/>
          <w:highlight w:val="none"/>
        </w:rPr>
        <w:t>2号</w:t>
      </w:r>
    </w:p>
    <w:p>
      <w:pPr>
        <w:adjustRightInd w:val="0"/>
        <w:spacing w:line="360" w:lineRule="auto"/>
        <w:ind w:firstLine="480" w:firstLineChars="200"/>
        <w:rPr>
          <w:rFonts w:ascii="宋体" w:hAnsi="宋体" w:cs="宋体"/>
          <w:sz w:val="24"/>
          <w:highlight w:val="none"/>
        </w:rPr>
      </w:pPr>
      <w:r>
        <w:rPr>
          <w:rFonts w:hint="eastAsia" w:ascii="宋体" w:hAnsi="宋体" w:cs="宋体"/>
          <w:sz w:val="24"/>
          <w:highlight w:val="none"/>
        </w:rPr>
        <w:t>邮</w:t>
      </w:r>
      <w:r>
        <w:rPr>
          <w:rFonts w:ascii="宋体" w:hAnsi="宋体" w:cs="宋体"/>
          <w:sz w:val="24"/>
          <w:highlight w:val="none"/>
        </w:rPr>
        <w:t xml:space="preserve">  </w:t>
      </w:r>
      <w:r>
        <w:rPr>
          <w:rFonts w:hint="eastAsia" w:ascii="宋体" w:hAnsi="宋体" w:cs="宋体"/>
          <w:sz w:val="24"/>
          <w:highlight w:val="none"/>
        </w:rPr>
        <w:t>编：</w:t>
      </w:r>
      <w:r>
        <w:rPr>
          <w:rFonts w:ascii="宋体" w:hAnsi="宋体" w:cs="宋体"/>
          <w:sz w:val="24"/>
          <w:highlight w:val="none"/>
        </w:rPr>
        <w:t>414002</w:t>
      </w:r>
    </w:p>
    <w:p>
      <w:pPr>
        <w:pStyle w:val="8"/>
        <w:adjustRightInd w:val="0"/>
        <w:spacing w:line="360" w:lineRule="auto"/>
        <w:ind w:firstLine="480" w:firstLineChars="200"/>
        <w:rPr>
          <w:rFonts w:hint="eastAsia" w:ascii="宋体" w:hAnsi="宋体" w:eastAsia="宋体" w:cs="宋体"/>
          <w:bCs/>
          <w:szCs w:val="24"/>
          <w:highlight w:val="none"/>
          <w:lang w:val="en-US" w:eastAsia="zh-CN"/>
        </w:rPr>
      </w:pPr>
      <w:r>
        <w:rPr>
          <w:rFonts w:hint="eastAsia" w:ascii="宋体" w:hAnsi="宋体" w:eastAsia="宋体" w:cs="宋体"/>
          <w:bCs/>
          <w:szCs w:val="24"/>
          <w:highlight w:val="none"/>
        </w:rPr>
        <w:t>联系人：雷</w:t>
      </w:r>
      <w:r>
        <w:rPr>
          <w:rFonts w:hint="eastAsia" w:ascii="宋体" w:hAnsi="宋体" w:eastAsia="宋体" w:cs="宋体"/>
          <w:bCs/>
          <w:szCs w:val="24"/>
          <w:highlight w:val="none"/>
          <w:lang w:val="en-US" w:eastAsia="zh-CN"/>
        </w:rPr>
        <w:t>先生</w:t>
      </w:r>
      <w:bookmarkStart w:id="13" w:name="_GoBack"/>
      <w:bookmarkEnd w:id="13"/>
    </w:p>
    <w:p>
      <w:pPr>
        <w:spacing w:line="360" w:lineRule="auto"/>
        <w:ind w:firstLine="480" w:firstLineChars="200"/>
        <w:rPr>
          <w:rFonts w:ascii="宋体" w:hAnsi="宋体" w:cs="宋体"/>
          <w:sz w:val="24"/>
          <w:highlight w:val="none"/>
        </w:rPr>
      </w:pPr>
      <w:r>
        <w:rPr>
          <w:rFonts w:hint="eastAsia" w:ascii="宋体" w:hAnsi="宋体" w:cs="宋体"/>
          <w:sz w:val="24"/>
          <w:highlight w:val="none"/>
        </w:rPr>
        <w:t>电  话：15973002673</w:t>
      </w:r>
    </w:p>
    <w:p>
      <w:pPr>
        <w:autoSpaceDE w:val="0"/>
        <w:spacing w:line="360" w:lineRule="auto"/>
        <w:jc w:val="both"/>
        <w:rPr>
          <w:rFonts w:ascii="宋体" w:hAnsi="宋体"/>
          <w:sz w:val="24"/>
          <w:highlight w:val="none"/>
        </w:rPr>
      </w:pPr>
      <w:r>
        <w:rPr>
          <w:rFonts w:hint="eastAsia" w:ascii="宋体" w:hAnsi="宋体"/>
          <w:sz w:val="24"/>
          <w:highlight w:val="none"/>
        </w:rPr>
        <w:t xml:space="preserve"> </w:t>
      </w:r>
    </w:p>
    <w:p>
      <w:pPr>
        <w:autoSpaceDE w:val="0"/>
        <w:spacing w:line="360" w:lineRule="auto"/>
        <w:jc w:val="both"/>
        <w:rPr>
          <w:rFonts w:ascii="宋体" w:hAnsi="宋体"/>
          <w:sz w:val="24"/>
          <w:highlight w:val="none"/>
        </w:rPr>
      </w:pPr>
      <w:r>
        <w:rPr>
          <w:rFonts w:hint="eastAsia" w:ascii="宋体" w:hAnsi="宋体"/>
          <w:sz w:val="24"/>
          <w:highlight w:val="none"/>
        </w:rPr>
        <w:t xml:space="preserve"> </w:t>
      </w:r>
    </w:p>
    <w:p>
      <w:pPr>
        <w:spacing w:line="360" w:lineRule="auto"/>
        <w:jc w:val="both"/>
        <w:rPr>
          <w:rFonts w:ascii="宋体" w:hAnsi="宋体"/>
          <w:sz w:val="24"/>
        </w:rPr>
      </w:pPr>
      <w:bookmarkStart w:id="6" w:name="_Toc517787494"/>
      <w:bookmarkStart w:id="7" w:name="_Toc234832861"/>
      <w:r>
        <w:rPr>
          <w:rFonts w:ascii="宋体" w:hAnsi="宋体"/>
          <w:sz w:val="24"/>
        </w:rPr>
        <w:t xml:space="preserve"> </w:t>
      </w:r>
    </w:p>
    <w:p>
      <w:pPr>
        <w:spacing w:line="360" w:lineRule="auto"/>
        <w:jc w:val="both"/>
        <w:rPr>
          <w:rFonts w:ascii="宋体" w:hAnsi="宋体"/>
          <w:sz w:val="24"/>
        </w:rPr>
      </w:pPr>
    </w:p>
    <w:p>
      <w:pPr>
        <w:spacing w:line="360" w:lineRule="auto"/>
        <w:jc w:val="both"/>
        <w:rPr>
          <w:rFonts w:ascii="宋体" w:hAnsi="宋体"/>
          <w:sz w:val="24"/>
        </w:rPr>
      </w:pPr>
    </w:p>
    <w:p>
      <w:pPr>
        <w:spacing w:line="360" w:lineRule="auto"/>
        <w:jc w:val="both"/>
        <w:rPr>
          <w:rFonts w:ascii="宋体" w:hAnsi="宋体"/>
          <w:sz w:val="24"/>
        </w:rPr>
      </w:pPr>
    </w:p>
    <w:p>
      <w:pPr>
        <w:spacing w:line="360" w:lineRule="auto"/>
        <w:jc w:val="both"/>
        <w:rPr>
          <w:rFonts w:ascii="宋体" w:hAnsi="宋体"/>
          <w:sz w:val="24"/>
        </w:rPr>
      </w:pPr>
    </w:p>
    <w:p>
      <w:pPr>
        <w:spacing w:line="360" w:lineRule="auto"/>
        <w:jc w:val="both"/>
        <w:rPr>
          <w:rFonts w:ascii="宋体" w:hAnsi="宋体"/>
          <w:sz w:val="24"/>
        </w:rPr>
      </w:pPr>
    </w:p>
    <w:p>
      <w:pPr>
        <w:rPr>
          <w:rFonts w:ascii="黑体" w:hAnsi="黑体" w:eastAsia="黑体"/>
          <w:sz w:val="32"/>
          <w:szCs w:val="32"/>
        </w:rPr>
      </w:pPr>
      <w:r>
        <w:rPr>
          <w:rFonts w:hint="eastAsia" w:ascii="黑体" w:hAnsi="黑体" w:eastAsia="黑体"/>
          <w:sz w:val="32"/>
          <w:szCs w:val="32"/>
        </w:rPr>
        <w:br w:type="page"/>
      </w:r>
    </w:p>
    <w:p>
      <w:pPr>
        <w:spacing w:line="360" w:lineRule="auto"/>
        <w:jc w:val="center"/>
        <w:rPr>
          <w:rFonts w:ascii="黑体" w:hAnsi="黑体" w:eastAsia="黑体"/>
          <w:sz w:val="32"/>
          <w:szCs w:val="32"/>
        </w:rPr>
      </w:pPr>
      <w:r>
        <w:rPr>
          <w:rFonts w:hint="eastAsia" w:ascii="黑体" w:hAnsi="黑体" w:eastAsia="黑体"/>
          <w:sz w:val="32"/>
          <w:szCs w:val="32"/>
        </w:rPr>
        <w:t>第二章  供应商须知</w:t>
      </w:r>
      <w:bookmarkEnd w:id="6"/>
      <w:bookmarkEnd w:id="7"/>
    </w:p>
    <w:p>
      <w:pPr>
        <w:pStyle w:val="3"/>
        <w:spacing w:before="240" w:after="240" w:line="360" w:lineRule="auto"/>
        <w:jc w:val="center"/>
        <w:rPr>
          <w:rFonts w:ascii="仿宋" w:hAnsi="仿宋" w:eastAsia="仿宋" w:cs="仿宋"/>
          <w:sz w:val="30"/>
          <w:szCs w:val="30"/>
        </w:rPr>
      </w:pPr>
      <w:bookmarkStart w:id="8" w:name="_Toc234832862"/>
      <w:bookmarkStart w:id="9" w:name="_Toc517787495"/>
      <w:r>
        <w:rPr>
          <w:rFonts w:hint="eastAsia" w:ascii="仿宋" w:hAnsi="仿宋" w:eastAsia="仿宋" w:cs="仿宋"/>
          <w:sz w:val="30"/>
          <w:szCs w:val="30"/>
        </w:rPr>
        <w:t>供应商须知前附表</w:t>
      </w:r>
      <w:bookmarkEnd w:id="8"/>
      <w:bookmarkEnd w:id="9"/>
    </w:p>
    <w:tbl>
      <w:tblPr>
        <w:tblStyle w:val="39"/>
        <w:tblW w:w="9299" w:type="dxa"/>
        <w:tblInd w:w="0" w:type="dxa"/>
        <w:tblLayout w:type="fixed"/>
        <w:tblCellMar>
          <w:top w:w="0" w:type="dxa"/>
          <w:left w:w="108" w:type="dxa"/>
          <w:bottom w:w="0" w:type="dxa"/>
          <w:right w:w="108" w:type="dxa"/>
        </w:tblCellMar>
      </w:tblPr>
      <w:tblGrid>
        <w:gridCol w:w="979"/>
        <w:gridCol w:w="3272"/>
        <w:gridCol w:w="5048"/>
      </w:tblGrid>
      <w:tr>
        <w:tblPrEx>
          <w:tblCellMar>
            <w:top w:w="0" w:type="dxa"/>
            <w:left w:w="108" w:type="dxa"/>
            <w:bottom w:w="0" w:type="dxa"/>
            <w:right w:w="108" w:type="dxa"/>
          </w:tblCellMar>
        </w:tblPrEx>
        <w:trPr>
          <w:trHeight w:val="515" w:hRule="atLeast"/>
          <w:tblHeader/>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条款号</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条  款  名  称</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编  列  内  容</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1.1.1</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采购方法</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☑询价</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1.1.2</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评审办法</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☑综合评分法（性价比法）</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1.7.1</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踏勘现场</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☑不组织</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1.8</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采购预备会</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☑不召开</w:t>
            </w:r>
          </w:p>
        </w:tc>
      </w:tr>
      <w:tr>
        <w:tblPrEx>
          <w:tblCellMar>
            <w:top w:w="0" w:type="dxa"/>
            <w:left w:w="108" w:type="dxa"/>
            <w:bottom w:w="0" w:type="dxa"/>
            <w:right w:w="108" w:type="dxa"/>
          </w:tblCellMar>
        </w:tblPrEx>
        <w:trPr>
          <w:trHeight w:val="1523"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1.10.2</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对非关键条款的偏差</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允许偏差的范围：采购文件允许细微偏差，但产品技术规格仅允许正向偏差</w:t>
            </w:r>
          </w:p>
          <w:p>
            <w:pPr>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允许偏差的项数：细微偏差</w:t>
            </w:r>
            <w:r>
              <w:rPr>
                <w:rFonts w:hint="eastAsia" w:cs="仿宋" w:asciiTheme="minorEastAsia" w:hAnsiTheme="minorEastAsia" w:eastAsiaTheme="minorEastAsia"/>
                <w:szCs w:val="21"/>
                <w:u w:val="single"/>
              </w:rPr>
              <w:t>3项</w:t>
            </w:r>
            <w:r>
              <w:rPr>
                <w:rFonts w:hint="eastAsia" w:cs="仿宋" w:asciiTheme="minorEastAsia" w:hAnsiTheme="minorEastAsia" w:eastAsiaTheme="minorEastAsia"/>
                <w:szCs w:val="21"/>
              </w:rPr>
              <w:t xml:space="preserve">。                                   </w:t>
            </w:r>
          </w:p>
        </w:tc>
      </w:tr>
      <w:tr>
        <w:tblPrEx>
          <w:tblCellMar>
            <w:top w:w="0" w:type="dxa"/>
            <w:left w:w="108" w:type="dxa"/>
            <w:bottom w:w="0" w:type="dxa"/>
            <w:right w:w="108" w:type="dxa"/>
          </w:tblCellMar>
        </w:tblPrEx>
        <w:trPr>
          <w:trHeight w:val="60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2.1(7)</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构成采购文件的其他资料</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资料名称：采购文件的澄清、解释</w:t>
            </w:r>
          </w:p>
        </w:tc>
      </w:tr>
      <w:tr>
        <w:tblPrEx>
          <w:tblCellMar>
            <w:top w:w="0" w:type="dxa"/>
            <w:left w:w="108" w:type="dxa"/>
            <w:bottom w:w="0" w:type="dxa"/>
            <w:right w:w="108" w:type="dxa"/>
          </w:tblCellMar>
        </w:tblPrEx>
        <w:trPr>
          <w:trHeight w:val="1019"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2.2.1</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供应商要求澄清采购文件的时间</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截止时间：2023年</w:t>
            </w:r>
            <w:r>
              <w:rPr>
                <w:rFonts w:hint="eastAsia" w:cs="仿宋" w:asciiTheme="minorEastAsia" w:hAnsiTheme="minorEastAsia" w:eastAsiaTheme="minorEastAsia"/>
                <w:szCs w:val="21"/>
                <w:lang w:val="en-US" w:eastAsia="zh-CN"/>
              </w:rPr>
              <w:t>4</w:t>
            </w:r>
            <w:r>
              <w:rPr>
                <w:rFonts w:hint="eastAsia" w:cs="仿宋" w:asciiTheme="minorEastAsia" w:hAnsiTheme="minorEastAsia" w:eastAsiaTheme="minorEastAsia"/>
                <w:szCs w:val="21"/>
              </w:rPr>
              <w:t>月</w:t>
            </w:r>
            <w:r>
              <w:rPr>
                <w:rFonts w:hint="eastAsia" w:cs="仿宋" w:asciiTheme="minorEastAsia" w:hAnsiTheme="minorEastAsia" w:eastAsiaTheme="minorEastAsia"/>
                <w:szCs w:val="21"/>
                <w:lang w:val="en-US" w:eastAsia="zh-CN"/>
              </w:rPr>
              <w:t>6</w:t>
            </w:r>
            <w:r>
              <w:rPr>
                <w:rFonts w:hint="eastAsia" w:cs="仿宋" w:asciiTheme="minorEastAsia" w:hAnsiTheme="minorEastAsia" w:eastAsiaTheme="minorEastAsia"/>
                <w:szCs w:val="21"/>
              </w:rPr>
              <w:t xml:space="preserve">日17时30分                                  </w:t>
            </w:r>
          </w:p>
        </w:tc>
      </w:tr>
      <w:tr>
        <w:tblPrEx>
          <w:tblCellMar>
            <w:top w:w="0" w:type="dxa"/>
            <w:left w:w="108" w:type="dxa"/>
            <w:bottom w:w="0" w:type="dxa"/>
            <w:right w:w="108" w:type="dxa"/>
          </w:tblCellMar>
        </w:tblPrEx>
        <w:trPr>
          <w:trHeight w:val="1019"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2.2.3</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供应商确认收到采购文件补充文件</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确认的最晚时间：收到补充文件的24小时内</w:t>
            </w:r>
          </w:p>
          <w:p>
            <w:pPr>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确定的方式：书面确认                                                 </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3.1.1（9）</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构成响应文件的其他资料</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资料名称：响应文件的澄清、解释</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3.2.2</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采购标的数量增减幅度</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color w:val="000000" w:themeColor="text1"/>
                <w:szCs w:val="21"/>
                <w14:textFill>
                  <w14:solidFill>
                    <w14:schemeClr w14:val="tx1"/>
                  </w14:solidFill>
                </w14:textFill>
              </w:rPr>
            </w:pPr>
            <w:r>
              <w:rPr>
                <w:rFonts w:hint="eastAsia" w:cs="仿宋" w:asciiTheme="minorEastAsia" w:hAnsiTheme="minorEastAsia" w:eastAsiaTheme="minorEastAsia"/>
                <w:color w:val="000000" w:themeColor="text1"/>
                <w:szCs w:val="21"/>
                <w14:textFill>
                  <w14:solidFill>
                    <w14:schemeClr w14:val="tx1"/>
                  </w14:solidFill>
                </w14:textFill>
              </w:rPr>
              <w:t>无</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3.2.3</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最高限价或其计算方法</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☑有，</w:t>
            </w:r>
            <w:r>
              <w:rPr>
                <w:rFonts w:hint="eastAsia" w:cs="仿宋" w:asciiTheme="minorEastAsia" w:hAnsiTheme="minorEastAsia" w:eastAsiaTheme="minorEastAsia"/>
                <w:szCs w:val="21"/>
                <w:highlight w:val="none"/>
              </w:rPr>
              <w:t>最高限价</w:t>
            </w:r>
            <w:r>
              <w:rPr>
                <w:rFonts w:hint="eastAsia" w:ascii="宋体" w:hAnsi="宋体" w:cs="宋体"/>
                <w:szCs w:val="21"/>
                <w:highlight w:val="none"/>
                <w:u w:val="single"/>
              </w:rPr>
              <w:t>肆拾</w:t>
            </w:r>
            <w:r>
              <w:rPr>
                <w:rFonts w:hint="eastAsia" w:ascii="宋体" w:hAnsi="宋体" w:cs="宋体"/>
                <w:szCs w:val="21"/>
                <w:highlight w:val="none"/>
                <w:u w:val="single"/>
                <w:lang w:eastAsia="zh-CN"/>
              </w:rPr>
              <w:t>玖</w:t>
            </w:r>
            <w:r>
              <w:rPr>
                <w:rFonts w:hint="eastAsia" w:ascii="宋体" w:hAnsi="宋体" w:cs="宋体"/>
                <w:szCs w:val="21"/>
                <w:highlight w:val="none"/>
                <w:u w:val="single"/>
              </w:rPr>
              <w:t>万伍仟圆整</w:t>
            </w:r>
            <w:r>
              <w:rPr>
                <w:rFonts w:hint="eastAsia" w:ascii="宋体" w:hAnsi="宋体" w:cs="宋体"/>
                <w:szCs w:val="21"/>
                <w:highlight w:val="none"/>
              </w:rPr>
              <w:t>（小写：</w:t>
            </w:r>
            <w:r>
              <w:rPr>
                <w:rFonts w:ascii="Arial" w:hAnsi="Arial" w:cs="Arial"/>
                <w:szCs w:val="21"/>
                <w:highlight w:val="none"/>
              </w:rPr>
              <w:t>¥</w:t>
            </w:r>
            <w:r>
              <w:rPr>
                <w:rFonts w:hint="eastAsia" w:ascii="宋体" w:hAnsi="宋体" w:cs="宋体"/>
                <w:szCs w:val="21"/>
                <w:highlight w:val="none"/>
              </w:rPr>
              <w:t>4</w:t>
            </w:r>
            <w:r>
              <w:rPr>
                <w:rFonts w:hint="eastAsia" w:ascii="宋体" w:hAnsi="宋体" w:cs="宋体"/>
                <w:szCs w:val="21"/>
                <w:highlight w:val="none"/>
                <w:lang w:val="en-US" w:eastAsia="zh-CN"/>
              </w:rPr>
              <w:t>9</w:t>
            </w:r>
            <w:r>
              <w:rPr>
                <w:rFonts w:hint="eastAsia" w:ascii="宋体" w:hAnsi="宋体" w:cs="宋体"/>
                <w:szCs w:val="21"/>
                <w:highlight w:val="none"/>
              </w:rPr>
              <w:t>5000.00元)，含13%增值税。</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3.2.4</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报价的其他要求</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报价含运费、税金。</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3.3.1</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响应文件有效期</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递交响应文件截止之日起90日</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3.4.1</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响应保证金</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☑不要求递交</w:t>
            </w:r>
          </w:p>
        </w:tc>
      </w:tr>
      <w:tr>
        <w:tblPrEx>
          <w:tblCellMar>
            <w:top w:w="0" w:type="dxa"/>
            <w:left w:w="108" w:type="dxa"/>
            <w:bottom w:w="0" w:type="dxa"/>
            <w:right w:w="108" w:type="dxa"/>
          </w:tblCellMar>
        </w:tblPrEx>
        <w:trPr>
          <w:trHeight w:val="1523"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3.5（1）</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Style w:val="42"/>
                <w:rFonts w:asciiTheme="minorEastAsia" w:hAnsiTheme="minorEastAsia" w:eastAsiaTheme="minorEastAsia"/>
                <w:b w:val="0"/>
                <w:color w:val="000000"/>
                <w:szCs w:val="21"/>
              </w:rPr>
            </w:pPr>
            <w:r>
              <w:rPr>
                <w:rStyle w:val="42"/>
                <w:rFonts w:hint="eastAsia" w:asciiTheme="minorEastAsia" w:hAnsiTheme="minorEastAsia" w:eastAsiaTheme="minorEastAsia"/>
                <w:b w:val="0"/>
                <w:color w:val="000000"/>
                <w:szCs w:val="21"/>
              </w:rPr>
              <w:t>依法设立的证明材料</w:t>
            </w:r>
          </w:p>
        </w:tc>
        <w:tc>
          <w:tcPr>
            <w:tcW w:w="5048" w:type="dxa"/>
            <w:tcBorders>
              <w:top w:val="single" w:color="auto" w:sz="4" w:space="0"/>
              <w:left w:val="single" w:color="auto" w:sz="4" w:space="0"/>
              <w:bottom w:val="single" w:color="auto" w:sz="4" w:space="0"/>
              <w:right w:val="single" w:color="auto" w:sz="4" w:space="0"/>
            </w:tcBorders>
          </w:tcPr>
          <w:p>
            <w:pPr>
              <w:spacing w:line="360" w:lineRule="auto"/>
              <w:jc w:val="both"/>
            </w:pPr>
            <w:r>
              <w:rPr>
                <w:rFonts w:hint="eastAsia"/>
              </w:rPr>
              <w:t>☑适用。</w:t>
            </w:r>
          </w:p>
          <w:p>
            <w:pPr>
              <w:numPr>
                <w:ilvl w:val="0"/>
                <w:numId w:val="2"/>
              </w:numPr>
              <w:spacing w:line="360" w:lineRule="auto"/>
              <w:jc w:val="both"/>
              <w:rPr>
                <w:rFonts w:hint="eastAsia" w:eastAsia="宋体"/>
                <w:lang w:val="en-US" w:eastAsia="zh-CN"/>
              </w:rPr>
            </w:pPr>
            <w:r>
              <w:rPr>
                <w:rFonts w:hint="eastAsia"/>
              </w:rPr>
              <w:t>供应商</w:t>
            </w:r>
            <w:r>
              <w:rPr>
                <w:rFonts w:hint="eastAsia"/>
                <w:lang w:eastAsia="zh-CN"/>
              </w:rPr>
              <w:t>是生产厂商的，</w:t>
            </w:r>
            <w:r>
              <w:rPr>
                <w:rFonts w:hint="eastAsia"/>
              </w:rPr>
              <w:t>应提供中国大陆市场监管部门或其他行政机关颁发的可以合法开展业务的执照或证书。</w:t>
            </w:r>
          </w:p>
          <w:p>
            <w:pPr>
              <w:numPr>
                <w:ilvl w:val="0"/>
                <w:numId w:val="2"/>
              </w:numPr>
              <w:spacing w:line="360" w:lineRule="auto"/>
              <w:jc w:val="both"/>
              <w:rPr>
                <w:rFonts w:hint="default"/>
                <w:lang w:val="en-US" w:eastAsia="zh-CN"/>
              </w:rPr>
            </w:pPr>
            <w:r>
              <w:rPr>
                <w:rFonts w:hint="eastAsia"/>
                <w:lang w:val="en-US" w:eastAsia="zh-CN"/>
              </w:rPr>
              <w:t>供应商是代理商的，除提供生产厂商</w:t>
            </w:r>
            <w:r>
              <w:rPr>
                <w:rFonts w:hint="eastAsia"/>
              </w:rPr>
              <w:t>的执照或证书</w:t>
            </w:r>
            <w:r>
              <w:rPr>
                <w:rFonts w:hint="eastAsia"/>
                <w:lang w:eastAsia="zh-CN"/>
              </w:rPr>
              <w:t>以外，</w:t>
            </w:r>
            <w:r>
              <w:rPr>
                <w:rFonts w:hint="eastAsia"/>
                <w:lang w:val="en-US" w:eastAsia="zh-CN"/>
              </w:rPr>
              <w:t>还应提交生产厂商对代理商的销售授权文件和代理商本身的</w:t>
            </w:r>
            <w:r>
              <w:rPr>
                <w:rFonts w:hint="eastAsia"/>
              </w:rPr>
              <w:t>可以合法开展业务的执照或证书</w:t>
            </w:r>
            <w:r>
              <w:rPr>
                <w:rFonts w:hint="eastAsia"/>
                <w:lang w:val="en-US" w:eastAsia="zh-CN"/>
              </w:rPr>
              <w:t>。</w:t>
            </w:r>
          </w:p>
          <w:p>
            <w:pPr>
              <w:bidi w:val="0"/>
              <w:rPr>
                <w:rFonts w:hint="eastAsia" w:eastAsia="宋体"/>
                <w:b w:val="0"/>
                <w:bCs w:val="0"/>
                <w:lang w:val="en-US" w:eastAsia="zh-CN"/>
              </w:rPr>
            </w:pPr>
            <w:r>
              <w:rPr>
                <w:rFonts w:hint="eastAsia"/>
                <w:lang w:val="en-US" w:eastAsia="zh-CN"/>
              </w:rPr>
              <w:t>3、以上证件均要求加盖公章。</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3.5（2）</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Cs w:val="21"/>
              </w:rPr>
            </w:pPr>
            <w:r>
              <w:rPr>
                <w:rStyle w:val="42"/>
                <w:rFonts w:hint="eastAsia" w:asciiTheme="minorEastAsia" w:hAnsiTheme="minorEastAsia" w:eastAsiaTheme="minorEastAsia"/>
                <w:b w:val="0"/>
                <w:color w:val="000000"/>
                <w:szCs w:val="21"/>
              </w:rPr>
              <w:t>资质要求证明材料</w:t>
            </w:r>
          </w:p>
        </w:tc>
        <w:tc>
          <w:tcPr>
            <w:tcW w:w="5048" w:type="dxa"/>
            <w:tcBorders>
              <w:top w:val="single" w:color="auto" w:sz="4" w:space="0"/>
              <w:left w:val="single" w:color="auto" w:sz="4" w:space="0"/>
              <w:bottom w:val="single" w:color="auto" w:sz="4" w:space="0"/>
              <w:right w:val="single" w:color="auto" w:sz="4" w:space="0"/>
            </w:tcBorders>
          </w:tcPr>
          <w:p>
            <w:pPr>
              <w:spacing w:line="360" w:lineRule="auto"/>
              <w:jc w:val="center"/>
            </w:pPr>
            <w:r>
              <w:rPr/>
              <w:sym w:font="Wingdings 2" w:char="0052"/>
            </w:r>
            <w:r>
              <w:rPr>
                <w:rFonts w:hint="eastAsia"/>
              </w:rPr>
              <w:t>不</w:t>
            </w:r>
            <w:r>
              <w:t>适用</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3.5（3）</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Cs/>
                <w:color w:val="000000"/>
                <w:szCs w:val="21"/>
              </w:rPr>
            </w:pPr>
            <w:r>
              <w:rPr>
                <w:rStyle w:val="42"/>
                <w:rFonts w:hint="eastAsia" w:asciiTheme="minorEastAsia" w:hAnsiTheme="minorEastAsia" w:eastAsiaTheme="minorEastAsia"/>
                <w:b w:val="0"/>
                <w:color w:val="000000"/>
                <w:szCs w:val="21"/>
              </w:rPr>
              <w:t>财务要求证明材料</w:t>
            </w:r>
          </w:p>
        </w:tc>
        <w:tc>
          <w:tcPr>
            <w:tcW w:w="50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color w:val="000000"/>
                <w:szCs w:val="21"/>
              </w:rPr>
            </w:pPr>
            <w:r>
              <w:rPr/>
              <w:sym w:font="Wingdings 2" w:char="0052"/>
            </w:r>
            <w:r>
              <w:rPr>
                <w:rFonts w:hint="eastAsia"/>
              </w:rPr>
              <w:t>不</w:t>
            </w:r>
            <w:r>
              <w:t>适用</w:t>
            </w:r>
          </w:p>
        </w:tc>
      </w:tr>
      <w:tr>
        <w:tblPrEx>
          <w:tblCellMar>
            <w:top w:w="0" w:type="dxa"/>
            <w:left w:w="108" w:type="dxa"/>
            <w:bottom w:w="0" w:type="dxa"/>
            <w:right w:w="108" w:type="dxa"/>
          </w:tblCellMar>
        </w:tblPrEx>
        <w:trPr>
          <w:trHeight w:val="1019"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3.5（4）</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业绩要求证明材料</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☑适用。</w:t>
            </w:r>
          </w:p>
          <w:p>
            <w:pPr>
              <w:spacing w:line="360" w:lineRule="auto"/>
              <w:jc w:val="both"/>
              <w:rPr>
                <w:rFonts w:cs="宋体" w:asciiTheme="minorEastAsia" w:hAnsiTheme="minorEastAsia" w:eastAsiaTheme="minorEastAsia"/>
                <w:color w:val="000000"/>
                <w:szCs w:val="21"/>
                <w:u w:val="single"/>
              </w:rPr>
            </w:pPr>
            <w:r>
              <w:rPr>
                <w:rFonts w:hint="eastAsia" w:cs="宋体" w:asciiTheme="minorEastAsia" w:hAnsiTheme="minorEastAsia" w:eastAsiaTheme="minorEastAsia"/>
                <w:color w:val="000000"/>
                <w:szCs w:val="21"/>
              </w:rPr>
              <w:t>供应商应提供近年的</w:t>
            </w:r>
            <w:r>
              <w:rPr>
                <w:rFonts w:hint="eastAsia" w:cs="宋体" w:asciiTheme="minorEastAsia" w:hAnsiTheme="minorEastAsia" w:eastAsiaTheme="minorEastAsia"/>
                <w:b/>
                <w:bCs/>
                <w:szCs w:val="21"/>
              </w:rPr>
              <w:t>类似项目</w:t>
            </w:r>
            <w:r>
              <w:rPr>
                <w:rFonts w:hint="eastAsia" w:cs="宋体" w:asciiTheme="minorEastAsia" w:hAnsiTheme="minorEastAsia" w:eastAsiaTheme="minorEastAsia"/>
                <w:color w:val="000000"/>
                <w:szCs w:val="21"/>
              </w:rPr>
              <w:t>情况表（格式见第六章“响应文件格式”七、资格审查资料（三）近年的类似项目情况表），以证明供应商具有承担本项目要求的业绩。近年是指</w:t>
            </w:r>
            <w:r>
              <w:rPr>
                <w:rFonts w:hint="eastAsia" w:cs="宋体" w:asciiTheme="minorEastAsia" w:hAnsiTheme="minorEastAsia" w:eastAsiaTheme="minorEastAsia"/>
                <w:color w:val="000000"/>
                <w:szCs w:val="21"/>
                <w:u w:val="single"/>
              </w:rPr>
              <w:t>202</w:t>
            </w:r>
            <w:r>
              <w:rPr>
                <w:rFonts w:hint="eastAsia" w:cs="宋体" w:asciiTheme="minorEastAsia" w:hAnsiTheme="minorEastAsia" w:eastAsiaTheme="minorEastAsia"/>
                <w:color w:val="000000"/>
                <w:szCs w:val="21"/>
                <w:u w:val="single"/>
                <w:lang w:val="en-US" w:eastAsia="zh-CN"/>
              </w:rPr>
              <w:t>0</w:t>
            </w:r>
            <w:r>
              <w:rPr>
                <w:rFonts w:hint="eastAsia" w:cs="宋体" w:asciiTheme="minorEastAsia" w:hAnsiTheme="minorEastAsia" w:eastAsiaTheme="minorEastAsia"/>
                <w:color w:val="000000"/>
                <w:szCs w:val="21"/>
                <w:u w:val="single"/>
              </w:rPr>
              <w:t>年</w:t>
            </w:r>
            <w:r>
              <w:rPr>
                <w:rFonts w:hint="eastAsia" w:cs="宋体" w:asciiTheme="minorEastAsia" w:hAnsiTheme="minorEastAsia" w:eastAsiaTheme="minorEastAsia"/>
                <w:color w:val="000000"/>
                <w:szCs w:val="21"/>
                <w:u w:val="single"/>
                <w:lang w:val="en-US" w:eastAsia="zh-CN"/>
              </w:rPr>
              <w:t>2</w:t>
            </w:r>
            <w:r>
              <w:rPr>
                <w:rFonts w:hint="eastAsia" w:cs="宋体" w:asciiTheme="minorEastAsia" w:hAnsiTheme="minorEastAsia" w:eastAsiaTheme="minorEastAsia"/>
                <w:color w:val="000000"/>
                <w:szCs w:val="21"/>
                <w:u w:val="single"/>
              </w:rPr>
              <w:t>月</w:t>
            </w:r>
            <w:r>
              <w:rPr>
                <w:rFonts w:hint="eastAsia" w:cs="宋体" w:asciiTheme="minorEastAsia" w:hAnsiTheme="minorEastAsia" w:eastAsiaTheme="minorEastAsia"/>
                <w:color w:val="000000"/>
                <w:szCs w:val="21"/>
              </w:rPr>
              <w:t>至</w:t>
            </w:r>
            <w:r>
              <w:rPr>
                <w:rFonts w:hint="eastAsia" w:cs="宋体" w:asciiTheme="minorEastAsia" w:hAnsiTheme="minorEastAsia" w:eastAsiaTheme="minorEastAsia"/>
                <w:color w:val="000000"/>
                <w:szCs w:val="21"/>
                <w:u w:val="single"/>
              </w:rPr>
              <w:t>2023年2月。</w:t>
            </w:r>
          </w:p>
          <w:p>
            <w:pPr>
              <w:spacing w:line="360" w:lineRule="auto"/>
              <w:jc w:val="both"/>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业绩证明材料：</w:t>
            </w:r>
            <w:r>
              <w:rPr>
                <w:rFonts w:hint="eastAsia" w:cs="宋体" w:asciiTheme="minorEastAsia" w:hAnsiTheme="minorEastAsia" w:eastAsiaTheme="minorEastAsia"/>
                <w:b/>
                <w:bCs/>
                <w:color w:val="000000"/>
                <w:szCs w:val="21"/>
              </w:rPr>
              <w:t>超融合服务器销售业绩</w:t>
            </w:r>
            <w:r>
              <w:rPr>
                <w:rFonts w:hint="eastAsia" w:cs="宋体" w:asciiTheme="minorEastAsia" w:hAnsiTheme="minorEastAsia" w:eastAsiaTheme="minorEastAsia"/>
                <w:b/>
                <w:bCs/>
                <w:color w:val="000000"/>
                <w:szCs w:val="21"/>
                <w:u w:val="single"/>
              </w:rPr>
              <w:t>1项</w:t>
            </w:r>
            <w:r>
              <w:rPr>
                <w:rFonts w:hint="eastAsia" w:cs="宋体" w:asciiTheme="minorEastAsia" w:hAnsiTheme="minorEastAsia" w:eastAsiaTheme="minorEastAsia"/>
                <w:b/>
                <w:bCs/>
                <w:color w:val="000000"/>
                <w:szCs w:val="21"/>
              </w:rPr>
              <w:t>。</w:t>
            </w:r>
          </w:p>
          <w:p>
            <w:pPr>
              <w:spacing w:line="360" w:lineRule="auto"/>
              <w:jc w:val="both"/>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☑合同/订单复印件并加盖公章</w:t>
            </w:r>
          </w:p>
          <w:p>
            <w:pPr>
              <w:spacing w:line="360" w:lineRule="auto"/>
              <w:jc w:val="both"/>
              <w:rPr>
                <w:rFonts w:cs="仿宋" w:asciiTheme="minorEastAsia" w:hAnsiTheme="minorEastAsia" w:eastAsiaTheme="minorEastAsia"/>
                <w:szCs w:val="21"/>
              </w:rPr>
            </w:pPr>
            <w:r>
              <w:rPr>
                <w:rFonts w:hint="eastAsia" w:ascii="宋体" w:hAnsi="宋体" w:cs="宋体"/>
                <w:color w:val="000000"/>
                <w:szCs w:val="21"/>
              </w:rPr>
              <w:t>注：</w:t>
            </w:r>
            <w:r>
              <w:rPr>
                <w:rFonts w:hint="eastAsia" w:ascii="宋体" w:hAnsi="宋体" w:cs="宋体"/>
                <w:b/>
                <w:bCs/>
                <w:color w:val="000000"/>
                <w:szCs w:val="21"/>
              </w:rPr>
              <w:t>类似项目</w:t>
            </w:r>
            <w:r>
              <w:rPr>
                <w:rFonts w:hint="eastAsia" w:ascii="宋体" w:hAnsi="宋体" w:cs="宋体"/>
                <w:szCs w:val="21"/>
              </w:rPr>
              <w:t>是指与本项目</w:t>
            </w:r>
            <w:r>
              <w:rPr>
                <w:rFonts w:hint="eastAsia" w:ascii="宋体" w:hAnsi="宋体" w:cs="宋体"/>
                <w:szCs w:val="21"/>
                <w:u w:val="single"/>
              </w:rPr>
              <w:t>采购规模</w:t>
            </w:r>
            <w:r>
              <w:rPr>
                <w:rFonts w:hint="eastAsia" w:ascii="宋体" w:hAnsi="宋体" w:cs="宋体"/>
                <w:szCs w:val="21"/>
              </w:rPr>
              <w:t>、</w:t>
            </w:r>
            <w:r>
              <w:rPr>
                <w:rFonts w:hint="eastAsia" w:ascii="宋体" w:hAnsi="宋体" w:cs="宋体"/>
                <w:szCs w:val="21"/>
                <w:u w:val="single"/>
              </w:rPr>
              <w:t>产品类型</w:t>
            </w:r>
            <w:r>
              <w:rPr>
                <w:rFonts w:hint="eastAsia" w:ascii="宋体" w:hAnsi="宋体" w:cs="宋体"/>
                <w:szCs w:val="21"/>
              </w:rPr>
              <w:t>、</w:t>
            </w:r>
            <w:r>
              <w:rPr>
                <w:rFonts w:hint="eastAsia" w:ascii="宋体" w:hAnsi="宋体" w:cs="宋体"/>
                <w:szCs w:val="21"/>
                <w:u w:val="single"/>
              </w:rPr>
              <w:t>产品型号</w:t>
            </w:r>
            <w:r>
              <w:rPr>
                <w:rFonts w:hint="eastAsia" w:ascii="宋体" w:hAnsi="宋体" w:cs="宋体"/>
                <w:szCs w:val="21"/>
              </w:rPr>
              <w:t>、</w:t>
            </w:r>
            <w:r>
              <w:rPr>
                <w:rFonts w:hint="eastAsia" w:ascii="宋体" w:hAnsi="宋体" w:cs="宋体"/>
                <w:szCs w:val="21"/>
                <w:u w:val="single"/>
              </w:rPr>
              <w:t>使用功能</w:t>
            </w:r>
            <w:r>
              <w:rPr>
                <w:rFonts w:hint="eastAsia" w:ascii="宋体" w:hAnsi="宋体" w:cs="宋体"/>
                <w:szCs w:val="21"/>
              </w:rPr>
              <w:t>等相近或相同的项目。</w:t>
            </w:r>
            <w:r>
              <w:rPr>
                <w:rFonts w:hint="eastAsia" w:cs="宋体" w:asciiTheme="minorEastAsia" w:hAnsiTheme="minorEastAsia" w:eastAsiaTheme="minorEastAsia"/>
                <w:color w:val="000000"/>
                <w:szCs w:val="21"/>
              </w:rPr>
              <w:t xml:space="preserve"> </w:t>
            </w:r>
          </w:p>
        </w:tc>
      </w:tr>
      <w:tr>
        <w:tblPrEx>
          <w:tblCellMar>
            <w:top w:w="0" w:type="dxa"/>
            <w:left w:w="108" w:type="dxa"/>
            <w:bottom w:w="0" w:type="dxa"/>
            <w:right w:w="108" w:type="dxa"/>
          </w:tblCellMar>
        </w:tblPrEx>
        <w:trPr>
          <w:trHeight w:val="3541"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3.5（5）</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ind w:firstLine="630" w:firstLineChars="300"/>
              <w:jc w:val="both"/>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信誉要求证明材料</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b/>
                <w:bCs/>
                <w:color w:val="000000"/>
                <w:szCs w:val="21"/>
              </w:rPr>
            </w:pPr>
            <w:r>
              <w:rPr>
                <w:rFonts w:hint="eastAsia" w:cs="宋体" w:asciiTheme="minorEastAsia" w:hAnsiTheme="minorEastAsia" w:eastAsiaTheme="minorEastAsia"/>
                <w:b/>
                <w:bCs/>
                <w:color w:val="000000"/>
                <w:szCs w:val="21"/>
              </w:rPr>
              <w:t>☑适用。</w:t>
            </w:r>
          </w:p>
          <w:p>
            <w:pPr>
              <w:spacing w:line="360" w:lineRule="auto"/>
              <w:jc w:val="both"/>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供应商应提供相关信誉情况的证明材料，包括：</w:t>
            </w:r>
          </w:p>
          <w:p>
            <w:pPr>
              <w:spacing w:line="360" w:lineRule="auto"/>
              <w:jc w:val="both"/>
              <w:rPr>
                <w:rFonts w:ascii="宋体" w:hAnsi="宋体" w:cs="宋体"/>
                <w:color w:val="000000"/>
                <w:szCs w:val="21"/>
              </w:rPr>
            </w:pPr>
            <w:r>
              <w:rPr>
                <w:rFonts w:hint="eastAsia" w:ascii="宋体" w:hAnsi="宋体" w:cs="宋体"/>
                <w:color w:val="000000"/>
                <w:szCs w:val="21"/>
              </w:rPr>
              <w:t>1．全国企业信用信息公示系统中未列入严重违法失信企业名单的网页截图。</w:t>
            </w:r>
          </w:p>
          <w:p>
            <w:pPr>
              <w:spacing w:line="360" w:lineRule="auto"/>
              <w:jc w:val="both"/>
              <w:rPr>
                <w:rFonts w:cs="仿宋" w:asciiTheme="minorEastAsia" w:hAnsiTheme="minorEastAsia" w:eastAsiaTheme="minorEastAsia"/>
                <w:szCs w:val="21"/>
              </w:rPr>
            </w:pPr>
            <w:r>
              <w:rPr>
                <w:rFonts w:hint="eastAsia" w:ascii="宋体" w:hAnsi="宋体" w:cs="宋体"/>
                <w:color w:val="000000"/>
                <w:szCs w:val="21"/>
              </w:rPr>
              <w:t>2.被最高人民法院在“信用中国”网站（www.creditchina.gov.cn）中未列入失信被执行人名单的网页截图。</w:t>
            </w:r>
          </w:p>
        </w:tc>
      </w:tr>
      <w:tr>
        <w:tblPrEx>
          <w:tblCellMar>
            <w:top w:w="0" w:type="dxa"/>
            <w:left w:w="108" w:type="dxa"/>
            <w:bottom w:w="0" w:type="dxa"/>
            <w:right w:w="108" w:type="dxa"/>
          </w:tblCellMar>
        </w:tblPrEx>
        <w:trPr>
          <w:trHeight w:val="1019"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3.5（6）</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承担本项目的主要人员要求证明材料</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sym w:font="Wingdings 2" w:char="0052"/>
            </w:r>
            <w:r>
              <w:rPr>
                <w:rFonts w:hint="eastAsia" w:cs="宋体" w:asciiTheme="minorEastAsia" w:hAnsiTheme="minorEastAsia" w:eastAsiaTheme="minorEastAsia"/>
                <w:color w:val="000000"/>
                <w:szCs w:val="21"/>
              </w:rPr>
              <w:t>不适用</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3.5（7）</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其他要求的证明材料</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sym w:font="Wingdings 2" w:char="0052"/>
            </w:r>
            <w:r>
              <w:rPr>
                <w:rFonts w:hint="eastAsia" w:cs="宋体" w:asciiTheme="minorEastAsia" w:hAnsiTheme="minorEastAsia" w:eastAsiaTheme="minorEastAsia"/>
                <w:color w:val="000000"/>
                <w:szCs w:val="21"/>
              </w:rPr>
              <w:t>不适用</w:t>
            </w:r>
          </w:p>
        </w:tc>
      </w:tr>
      <w:tr>
        <w:tblPrEx>
          <w:tblCellMar>
            <w:top w:w="0" w:type="dxa"/>
            <w:left w:w="108" w:type="dxa"/>
            <w:bottom w:w="0" w:type="dxa"/>
            <w:right w:w="108" w:type="dxa"/>
          </w:tblCellMar>
        </w:tblPrEx>
        <w:trPr>
          <w:trHeight w:val="1019"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3.5（8）</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供应商不存在第一章3.1款情形的证明材料</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☑不需要提供证明材料</w:t>
            </w:r>
          </w:p>
        </w:tc>
      </w:tr>
      <w:tr>
        <w:tblPrEx>
          <w:tblCellMar>
            <w:top w:w="0" w:type="dxa"/>
            <w:left w:w="108" w:type="dxa"/>
            <w:bottom w:w="0" w:type="dxa"/>
            <w:right w:w="108" w:type="dxa"/>
          </w:tblCellMar>
        </w:tblPrEx>
        <w:trPr>
          <w:trHeight w:val="1019"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3.6.1</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对关键条款进行响应的证据或证明材料要求</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无</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3.6.2</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响应方案数量</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☑供应商只能提出唯一响应方案</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3.7.5</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响应文件及电子版要求</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是否要求提供电子版响应文件：☑不要求</w:t>
            </w:r>
          </w:p>
        </w:tc>
      </w:tr>
      <w:tr>
        <w:tblPrEx>
          <w:tblCellMar>
            <w:top w:w="0" w:type="dxa"/>
            <w:left w:w="108" w:type="dxa"/>
            <w:bottom w:w="0" w:type="dxa"/>
            <w:right w:w="108" w:type="dxa"/>
          </w:tblCellMar>
        </w:tblPrEx>
        <w:trPr>
          <w:trHeight w:val="1019"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4.1.1</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响应文件的密封</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响应文件须密封包装，并在封套的封口处加盖供应商单位章。</w:t>
            </w:r>
          </w:p>
        </w:tc>
      </w:tr>
      <w:tr>
        <w:tblPrEx>
          <w:tblCellMar>
            <w:top w:w="0" w:type="dxa"/>
            <w:left w:w="108" w:type="dxa"/>
            <w:bottom w:w="0" w:type="dxa"/>
            <w:right w:w="108" w:type="dxa"/>
          </w:tblCellMar>
        </w:tblPrEx>
        <w:trPr>
          <w:trHeight w:val="1019"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4.1.2</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封套上应载明的信息</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Cs w:val="21"/>
                <w:u w:val="single"/>
              </w:rPr>
            </w:pPr>
            <w:r>
              <w:rPr>
                <w:rFonts w:hint="eastAsia" w:cs="宋体" w:asciiTheme="minorEastAsia" w:hAnsiTheme="minorEastAsia" w:eastAsiaTheme="minorEastAsia"/>
                <w:color w:val="000000"/>
                <w:szCs w:val="21"/>
              </w:rPr>
              <w:t>☑适用，供应商名称：</w:t>
            </w:r>
            <w:r>
              <w:rPr>
                <w:rFonts w:hint="eastAsia" w:cs="宋体" w:asciiTheme="minorEastAsia" w:hAnsiTheme="minorEastAsia" w:eastAsiaTheme="minorEastAsia"/>
                <w:color w:val="000000"/>
                <w:szCs w:val="21"/>
                <w:u w:val="single"/>
              </w:rPr>
              <w:t>（盖章）</w:t>
            </w:r>
          </w:p>
          <w:p>
            <w:pPr>
              <w:spacing w:line="360" w:lineRule="auto"/>
              <w:jc w:val="both"/>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项目名称</w:t>
            </w:r>
            <w:r>
              <w:rPr>
                <w:rFonts w:hint="eastAsia" w:cs="宋体" w:asciiTheme="minorEastAsia" w:hAnsiTheme="minorEastAsia" w:eastAsiaTheme="minorEastAsia"/>
                <w:color w:val="000000"/>
                <w:szCs w:val="21"/>
                <w:u w:val="single"/>
              </w:rPr>
              <w:t>：城港公司2023年超融合服务器询价响应文件</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4.2.1</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递交响应文件截止时间和地点</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Cs w:val="21"/>
                <w:u w:val="single"/>
              </w:rPr>
            </w:pPr>
            <w:r>
              <w:rPr>
                <w:rFonts w:hint="eastAsia" w:cs="宋体" w:asciiTheme="minorEastAsia" w:hAnsiTheme="minorEastAsia" w:eastAsiaTheme="minorEastAsia"/>
                <w:color w:val="000000"/>
                <w:szCs w:val="21"/>
              </w:rPr>
              <w:t>截止时间：</w:t>
            </w:r>
            <w:r>
              <w:rPr>
                <w:rFonts w:hint="eastAsia" w:cs="宋体" w:asciiTheme="minorEastAsia" w:hAnsiTheme="minorEastAsia" w:eastAsiaTheme="minorEastAsia"/>
                <w:color w:val="000000"/>
                <w:szCs w:val="21"/>
                <w:highlight w:val="none"/>
                <w:u w:val="single"/>
              </w:rPr>
              <w:t>2023年</w:t>
            </w:r>
            <w:r>
              <w:rPr>
                <w:rFonts w:hint="eastAsia" w:cs="宋体" w:asciiTheme="minorEastAsia" w:hAnsiTheme="minorEastAsia" w:eastAsiaTheme="minorEastAsia"/>
                <w:color w:val="000000"/>
                <w:szCs w:val="21"/>
                <w:highlight w:val="none"/>
                <w:u w:val="single"/>
                <w:lang w:val="en-US" w:eastAsia="zh-CN"/>
              </w:rPr>
              <w:t>4</w:t>
            </w:r>
            <w:r>
              <w:rPr>
                <w:rFonts w:hint="eastAsia" w:cs="宋体" w:asciiTheme="minorEastAsia" w:hAnsiTheme="minorEastAsia" w:eastAsiaTheme="minorEastAsia"/>
                <w:color w:val="000000"/>
                <w:szCs w:val="21"/>
                <w:highlight w:val="none"/>
                <w:u w:val="single"/>
              </w:rPr>
              <w:t>月6日17时30</w:t>
            </w:r>
            <w:r>
              <w:rPr>
                <w:rFonts w:hint="eastAsia" w:cs="宋体" w:asciiTheme="minorEastAsia" w:hAnsiTheme="minorEastAsia" w:eastAsiaTheme="minorEastAsia"/>
                <w:color w:val="000000"/>
                <w:szCs w:val="21"/>
                <w:u w:val="single"/>
              </w:rPr>
              <w:t>分</w:t>
            </w:r>
          </w:p>
          <w:p>
            <w:pPr>
              <w:spacing w:line="360" w:lineRule="auto"/>
              <w:jc w:val="both"/>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递交响应文件的地点：</w:t>
            </w:r>
            <w:r>
              <w:rPr>
                <w:rFonts w:hint="eastAsia" w:cs="宋体" w:asciiTheme="minorEastAsia" w:hAnsiTheme="minorEastAsia" w:eastAsiaTheme="minorEastAsia"/>
                <w:color w:val="000000"/>
                <w:szCs w:val="21"/>
                <w:u w:val="single"/>
              </w:rPr>
              <w:t>湖南省岳阳市岳阳楼区长江路2号城陵矶港办公楼418室</w:t>
            </w:r>
            <w:r>
              <w:rPr>
                <w:rFonts w:hint="eastAsia" w:cs="宋体" w:asciiTheme="minorEastAsia" w:hAnsiTheme="minorEastAsia" w:eastAsiaTheme="minorEastAsia"/>
                <w:color w:val="000000"/>
                <w:szCs w:val="21"/>
              </w:rPr>
              <w:t xml:space="preserve">                    </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4.2.2</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是否退还响应文件</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☑否</w:t>
            </w:r>
          </w:p>
        </w:tc>
      </w:tr>
      <w:tr>
        <w:tblPrEx>
          <w:tblCellMar>
            <w:top w:w="0" w:type="dxa"/>
            <w:left w:w="108" w:type="dxa"/>
            <w:bottom w:w="0" w:type="dxa"/>
            <w:right w:w="108" w:type="dxa"/>
          </w:tblCellMar>
        </w:tblPrEx>
        <w:trPr>
          <w:trHeight w:val="1019"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4.3.3</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供应商撤回响应文件情况下退还响应保证金的时间</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无</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5</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是否公开开启响应文件</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☑否</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5.1</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开启地点</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湖南省港务集团有限公司六楼602开评标室</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5.2（4）</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开启程序</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开启顺序：</w:t>
            </w:r>
            <w:r>
              <w:rPr>
                <w:rFonts w:hint="eastAsia" w:cs="宋体" w:asciiTheme="minorEastAsia" w:hAnsiTheme="minorEastAsia" w:eastAsiaTheme="minorEastAsia"/>
                <w:color w:val="000000"/>
                <w:szCs w:val="21"/>
                <w:u w:val="single"/>
              </w:rPr>
              <w:t>随机开启</w:t>
            </w:r>
          </w:p>
        </w:tc>
      </w:tr>
      <w:tr>
        <w:tblPrEx>
          <w:tblCellMar>
            <w:top w:w="0" w:type="dxa"/>
            <w:left w:w="108" w:type="dxa"/>
            <w:bottom w:w="0" w:type="dxa"/>
            <w:right w:w="108" w:type="dxa"/>
          </w:tblCellMar>
        </w:tblPrEx>
        <w:trPr>
          <w:trHeight w:val="1523"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6.1.1</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评审小组的组建</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评标小组构成：</w:t>
            </w:r>
            <w:r>
              <w:rPr>
                <w:rFonts w:hint="eastAsia" w:cs="宋体" w:asciiTheme="minorEastAsia" w:hAnsiTheme="minorEastAsia" w:eastAsiaTheme="minorEastAsia"/>
                <w:color w:val="000000"/>
                <w:szCs w:val="21"/>
                <w:u w:val="single"/>
              </w:rPr>
              <w:t xml:space="preserve">3 </w:t>
            </w:r>
            <w:r>
              <w:rPr>
                <w:rFonts w:hint="eastAsia" w:cs="宋体" w:asciiTheme="minorEastAsia" w:hAnsiTheme="minorEastAsia" w:eastAsiaTheme="minorEastAsia"/>
                <w:color w:val="000000"/>
                <w:szCs w:val="21"/>
              </w:rPr>
              <w:t>人。</w:t>
            </w:r>
          </w:p>
          <w:p>
            <w:pPr>
              <w:spacing w:line="360" w:lineRule="auto"/>
              <w:jc w:val="both"/>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评审专家确定方式：采购单位代表</w:t>
            </w:r>
            <w:r>
              <w:rPr>
                <w:rFonts w:hint="eastAsia" w:cs="宋体" w:asciiTheme="minorEastAsia" w:hAnsiTheme="minorEastAsia" w:eastAsiaTheme="minorEastAsia"/>
                <w:color w:val="000000"/>
                <w:szCs w:val="21"/>
                <w:u w:val="single"/>
              </w:rPr>
              <w:t>1</w:t>
            </w:r>
            <w:r>
              <w:rPr>
                <w:rFonts w:hint="eastAsia" w:cs="宋体" w:asciiTheme="minorEastAsia" w:hAnsiTheme="minorEastAsia" w:eastAsiaTheme="minorEastAsia"/>
                <w:color w:val="000000"/>
                <w:szCs w:val="21"/>
              </w:rPr>
              <w:t>名，在湖南省湘水集团有限公司综合评标专家库中随机抽取专家</w:t>
            </w:r>
            <w:r>
              <w:rPr>
                <w:rFonts w:hint="eastAsia" w:cs="宋体" w:asciiTheme="minorEastAsia" w:hAnsiTheme="minorEastAsia" w:eastAsiaTheme="minorEastAsia"/>
                <w:color w:val="000000"/>
                <w:szCs w:val="21"/>
                <w:u w:val="single"/>
              </w:rPr>
              <w:t>2</w:t>
            </w:r>
            <w:r>
              <w:rPr>
                <w:rFonts w:hint="eastAsia" w:cs="宋体" w:asciiTheme="minorEastAsia" w:hAnsiTheme="minorEastAsia" w:eastAsiaTheme="minorEastAsia"/>
                <w:color w:val="000000"/>
                <w:szCs w:val="21"/>
              </w:rPr>
              <w:t>名。</w:t>
            </w:r>
          </w:p>
        </w:tc>
      </w:tr>
      <w:tr>
        <w:tblPrEx>
          <w:tblCellMar>
            <w:top w:w="0" w:type="dxa"/>
            <w:left w:w="108" w:type="dxa"/>
            <w:bottom w:w="0" w:type="dxa"/>
            <w:right w:w="108" w:type="dxa"/>
          </w:tblCellMar>
        </w:tblPrEx>
        <w:trPr>
          <w:trHeight w:val="1019"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6.2.2</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评审小组推荐成交候选供应商的数量</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Cs w:val="21"/>
              </w:rPr>
            </w:pPr>
            <w:r>
              <w:rPr>
                <w:rFonts w:cs="宋体" w:asciiTheme="minorEastAsia" w:hAnsiTheme="minorEastAsia" w:eastAsiaTheme="minorEastAsia"/>
                <w:b/>
                <w:bCs/>
                <w:color w:val="000000"/>
                <w:szCs w:val="21"/>
              </w:rPr>
              <w:t xml:space="preserve">  </w:t>
            </w:r>
            <w:r>
              <w:rPr>
                <w:rFonts w:hint="eastAsia" w:cs="宋体" w:asciiTheme="minorEastAsia" w:hAnsiTheme="minorEastAsia" w:eastAsiaTheme="minorEastAsia"/>
                <w:b/>
                <w:bCs/>
                <w:color w:val="000000"/>
                <w:szCs w:val="21"/>
              </w:rPr>
              <w:t>2-3</w:t>
            </w:r>
            <w:r>
              <w:rPr>
                <w:rFonts w:hint="eastAsia" w:cs="宋体" w:asciiTheme="minorEastAsia" w:hAnsiTheme="minorEastAsia" w:eastAsiaTheme="minorEastAsia"/>
                <w:color w:val="000000"/>
                <w:szCs w:val="21"/>
              </w:rPr>
              <w:t>个（不超过3个），并标明推荐顺序。</w:t>
            </w:r>
          </w:p>
        </w:tc>
      </w:tr>
      <w:tr>
        <w:tblPrEx>
          <w:tblCellMar>
            <w:top w:w="0" w:type="dxa"/>
            <w:left w:w="108" w:type="dxa"/>
            <w:bottom w:w="0" w:type="dxa"/>
            <w:right w:w="108" w:type="dxa"/>
          </w:tblCellMar>
        </w:tblPrEx>
        <w:trPr>
          <w:trHeight w:val="3036"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7.2</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成交候选供应商公示</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color w:val="000000"/>
                <w:szCs w:val="21"/>
              </w:rPr>
              <w:t>公示媒介：</w:t>
            </w:r>
            <w:r>
              <w:rPr>
                <w:rFonts w:hint="eastAsia" w:ascii="宋体" w:hAnsi="宋体" w:cs="宋体"/>
                <w:szCs w:val="21"/>
              </w:rPr>
              <w:t>中国招标投标公共服务平台（http：//www.cebpubservice.com）、湖南省湘水集团有限公司网站（http：//www.hnsxsjt.com）、                                   岳阳城陵矶港务有限责任公司（http://www.hnsgwjt.com）上发布。</w:t>
            </w:r>
          </w:p>
          <w:p>
            <w:pPr>
              <w:spacing w:line="360" w:lineRule="auto"/>
              <w:rPr>
                <w:rFonts w:cs="宋体" w:asciiTheme="minorEastAsia" w:hAnsiTheme="minorEastAsia" w:eastAsiaTheme="minorEastAsia"/>
                <w:color w:val="000000"/>
                <w:szCs w:val="21"/>
              </w:rPr>
            </w:pPr>
            <w:r>
              <w:rPr>
                <w:rFonts w:hint="eastAsia" w:ascii="宋体" w:hAnsi="宋体" w:cs="宋体"/>
                <w:color w:val="000000"/>
                <w:szCs w:val="21"/>
              </w:rPr>
              <w:t>公示期限：</w:t>
            </w:r>
            <w:r>
              <w:rPr>
                <w:rFonts w:hint="eastAsia" w:ascii="宋体" w:hAnsi="宋体" w:cs="宋体"/>
                <w:color w:val="000000"/>
                <w:szCs w:val="21"/>
                <w:u w:val="single"/>
              </w:rPr>
              <w:t xml:space="preserve"> 3</w:t>
            </w:r>
            <w:r>
              <w:rPr>
                <w:rFonts w:hint="eastAsia" w:ascii="宋体" w:hAnsi="宋体" w:cs="宋体"/>
                <w:color w:val="000000"/>
                <w:szCs w:val="21"/>
              </w:rPr>
              <w:t xml:space="preserve">个工作日 </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7.7</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履约保证金</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☑不要求提交</w:t>
            </w:r>
          </w:p>
        </w:tc>
      </w:tr>
      <w:tr>
        <w:tblPrEx>
          <w:tblCellMar>
            <w:top w:w="0" w:type="dxa"/>
            <w:left w:w="108" w:type="dxa"/>
            <w:bottom w:w="0" w:type="dxa"/>
            <w:right w:w="108" w:type="dxa"/>
          </w:tblCellMar>
        </w:tblPrEx>
        <w:trPr>
          <w:trHeight w:val="2532"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8.1</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异议渠道</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联系人岳阳城陵矶港务有限责任公司纪委</w:t>
            </w:r>
          </w:p>
          <w:p>
            <w:pPr>
              <w:spacing w:line="360" w:lineRule="auto"/>
              <w:jc w:val="both"/>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联系电话：</w:t>
            </w:r>
            <w:r>
              <w:rPr>
                <w:rFonts w:hint="eastAsia" w:cs="宋体" w:asciiTheme="minorEastAsia" w:hAnsiTheme="minorEastAsia" w:eastAsiaTheme="minorEastAsia"/>
                <w:color w:val="000000"/>
                <w:szCs w:val="21"/>
                <w:u w:val="single"/>
              </w:rPr>
              <w:t>0730-3050153</w:t>
            </w:r>
            <w:r>
              <w:rPr>
                <w:rFonts w:hint="eastAsia" w:cs="宋体" w:asciiTheme="minorEastAsia" w:hAnsiTheme="minorEastAsia" w:eastAsiaTheme="minorEastAsia"/>
                <w:color w:val="000000"/>
                <w:szCs w:val="21"/>
              </w:rPr>
              <w:t xml:space="preserve">                 </w:t>
            </w:r>
          </w:p>
          <w:p>
            <w:pPr>
              <w:spacing w:line="360" w:lineRule="auto"/>
              <w:jc w:val="both"/>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通信地址：</w:t>
            </w:r>
            <w:r>
              <w:rPr>
                <w:rFonts w:hint="eastAsia" w:cs="宋体" w:asciiTheme="minorEastAsia" w:hAnsiTheme="minorEastAsia" w:eastAsiaTheme="minorEastAsia"/>
                <w:color w:val="000000"/>
                <w:szCs w:val="21"/>
                <w:u w:val="single"/>
              </w:rPr>
              <w:t>湖南省岳阳市岳阳楼区长江路2号城陵矶港办公楼</w:t>
            </w:r>
            <w:r>
              <w:rPr>
                <w:rFonts w:hint="eastAsia" w:cs="宋体" w:asciiTheme="minorEastAsia" w:hAnsiTheme="minorEastAsia" w:eastAsiaTheme="minorEastAsia"/>
                <w:color w:val="000000"/>
                <w:szCs w:val="21"/>
              </w:rPr>
              <w:t xml:space="preserve">                 </w:t>
            </w:r>
          </w:p>
          <w:p>
            <w:pPr>
              <w:spacing w:line="360" w:lineRule="auto"/>
              <w:jc w:val="both"/>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其他：</w:t>
            </w:r>
            <w:r>
              <w:rPr>
                <w:rFonts w:hint="eastAsia" w:cs="宋体" w:asciiTheme="minorEastAsia" w:hAnsiTheme="minorEastAsia" w:eastAsiaTheme="minorEastAsia"/>
                <w:color w:val="000000"/>
                <w:szCs w:val="21"/>
                <w:u w:val="single"/>
              </w:rPr>
              <w:t>无</w:t>
            </w:r>
          </w:p>
        </w:tc>
      </w:tr>
      <w:tr>
        <w:tblPrEx>
          <w:tblCellMar>
            <w:top w:w="0" w:type="dxa"/>
            <w:left w:w="108" w:type="dxa"/>
            <w:bottom w:w="0" w:type="dxa"/>
            <w:right w:w="108" w:type="dxa"/>
          </w:tblCellMar>
        </w:tblPrEx>
        <w:trPr>
          <w:trHeight w:val="515"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10.1</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采购代理服务费</w:t>
            </w:r>
          </w:p>
        </w:tc>
        <w:tc>
          <w:tcPr>
            <w:tcW w:w="50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☑不要求承担</w:t>
            </w:r>
          </w:p>
        </w:tc>
      </w:tr>
      <w:tr>
        <w:tblPrEx>
          <w:tblCellMar>
            <w:top w:w="0" w:type="dxa"/>
            <w:left w:w="108" w:type="dxa"/>
            <w:bottom w:w="0" w:type="dxa"/>
            <w:right w:w="108" w:type="dxa"/>
          </w:tblCellMar>
        </w:tblPrEx>
        <w:trPr>
          <w:trHeight w:val="1231" w:hRule="atLeast"/>
        </w:trPr>
        <w:tc>
          <w:tcPr>
            <w:tcW w:w="97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10.2</w:t>
            </w:r>
          </w:p>
        </w:tc>
        <w:tc>
          <w:tcPr>
            <w:tcW w:w="32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需要补充的其他内容</w:t>
            </w:r>
          </w:p>
        </w:tc>
        <w:tc>
          <w:tcPr>
            <w:tcW w:w="5048"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Cs w:val="21"/>
              </w:rPr>
            </w:pPr>
            <w:r>
              <w:rPr>
                <w:rFonts w:hint="eastAsia" w:ascii="宋体" w:hAnsi="宋体" w:cs="宋体"/>
                <w:color w:val="000000"/>
                <w:szCs w:val="21"/>
              </w:rPr>
              <w:t>1.供应商提供的相关证明文件若为复印件，必须加盖单位公章。</w:t>
            </w:r>
          </w:p>
          <w:p>
            <w:pPr>
              <w:spacing w:line="288" w:lineRule="auto"/>
              <w:jc w:val="both"/>
              <w:rPr>
                <w:rFonts w:ascii="宋体" w:hAnsi="宋体" w:cs="宋体"/>
                <w:color w:val="000000"/>
                <w:szCs w:val="21"/>
              </w:rPr>
            </w:pPr>
            <w:r>
              <w:rPr>
                <w:rFonts w:hint="eastAsia" w:ascii="宋体" w:hAnsi="宋体" w:cs="宋体"/>
                <w:color w:val="000000"/>
                <w:szCs w:val="21"/>
              </w:rPr>
              <w:t>2.本项目</w:t>
            </w:r>
            <w:r>
              <w:rPr>
                <w:rFonts w:hint="eastAsia" w:ascii="宋体" w:hAnsi="宋体" w:cs="宋体"/>
                <w:b/>
                <w:bCs/>
                <w:color w:val="000000"/>
                <w:szCs w:val="21"/>
              </w:rPr>
              <w:t>不接受</w:t>
            </w:r>
            <w:r>
              <w:rPr>
                <w:rFonts w:hint="eastAsia" w:ascii="宋体" w:hAnsi="宋体" w:cs="宋体"/>
                <w:color w:val="000000"/>
                <w:szCs w:val="21"/>
              </w:rPr>
              <w:t>联合体投标。</w:t>
            </w:r>
          </w:p>
          <w:p>
            <w:pPr>
              <w:spacing w:line="360" w:lineRule="auto"/>
              <w:jc w:val="both"/>
              <w:rPr>
                <w:rFonts w:cs="宋体" w:asciiTheme="minorEastAsia" w:hAnsiTheme="minorEastAsia" w:eastAsiaTheme="minorEastAsia"/>
                <w:color w:val="000000"/>
                <w:szCs w:val="21"/>
              </w:rPr>
            </w:pPr>
            <w:r>
              <w:rPr>
                <w:rFonts w:hint="eastAsia" w:ascii="宋体" w:hAnsi="宋体" w:cs="宋体"/>
                <w:color w:val="000000"/>
                <w:szCs w:val="21"/>
              </w:rPr>
              <w:t>3.响应文件份数：</w:t>
            </w:r>
            <w:r>
              <w:rPr>
                <w:rFonts w:hint="eastAsia" w:ascii="宋体" w:hAnsi="宋体" w:cs="宋体"/>
                <w:color w:val="000000"/>
                <w:szCs w:val="21"/>
                <w:u w:val="single"/>
              </w:rPr>
              <w:t>正本1份</w:t>
            </w:r>
            <w:r>
              <w:rPr>
                <w:rFonts w:hint="eastAsia" w:ascii="宋体" w:hAnsi="宋体" w:cs="宋体"/>
                <w:color w:val="000000"/>
                <w:szCs w:val="21"/>
              </w:rPr>
              <w:t>，</w:t>
            </w:r>
            <w:r>
              <w:rPr>
                <w:rFonts w:hint="eastAsia" w:ascii="宋体" w:hAnsi="宋体" w:cs="宋体"/>
                <w:color w:val="000000"/>
                <w:szCs w:val="21"/>
                <w:u w:val="single"/>
              </w:rPr>
              <w:t>副本 2 份</w:t>
            </w:r>
            <w:r>
              <w:rPr>
                <w:rFonts w:hint="eastAsia" w:ascii="宋体" w:hAnsi="宋体" w:cs="宋体"/>
                <w:color w:val="000000"/>
                <w:szCs w:val="21"/>
              </w:rPr>
              <w:t>。</w:t>
            </w:r>
          </w:p>
        </w:tc>
      </w:tr>
    </w:tbl>
    <w:p>
      <w:pPr>
        <w:pStyle w:val="64"/>
        <w:spacing w:line="360" w:lineRule="auto"/>
        <w:ind w:firstLine="569" w:firstLineChars="189"/>
        <w:rPr>
          <w:rFonts w:hAnsi="宋体" w:cs="仿宋"/>
          <w:sz w:val="24"/>
        </w:rPr>
      </w:pPr>
      <w:r>
        <w:rPr>
          <w:rFonts w:ascii="仿宋" w:hAnsi="仿宋" w:eastAsia="仿宋" w:cs="仿宋"/>
          <w:b/>
          <w:bCs/>
          <w:sz w:val="30"/>
          <w:szCs w:val="30"/>
        </w:rPr>
        <w:br w:type="page"/>
      </w:r>
    </w:p>
    <w:p>
      <w:pPr>
        <w:spacing w:line="360" w:lineRule="auto"/>
        <w:jc w:val="center"/>
        <w:outlineLvl w:val="0"/>
        <w:rPr>
          <w:rFonts w:ascii="仿宋" w:hAnsi="仿宋" w:eastAsia="仿宋" w:cs="仿宋"/>
          <w:sz w:val="32"/>
          <w:szCs w:val="32"/>
        </w:rPr>
      </w:pPr>
      <w:r>
        <w:rPr>
          <w:rFonts w:hint="eastAsia" w:ascii="华文中宋" w:hAnsi="华文中宋" w:eastAsia="华文中宋" w:cs="仿宋"/>
          <w:b/>
          <w:bCs/>
          <w:sz w:val="32"/>
          <w:szCs w:val="32"/>
        </w:rPr>
        <w:t>第二章 供应商须知正文</w:t>
      </w:r>
    </w:p>
    <w:p>
      <w:pPr>
        <w:adjustRightInd w:val="0"/>
        <w:snapToGrid w:val="0"/>
        <w:spacing w:before="156" w:beforeLines="50" w:after="156" w:afterLines="50" w:line="360" w:lineRule="auto"/>
        <w:jc w:val="both"/>
        <w:rPr>
          <w:rFonts w:ascii="宋体" w:hAnsi="宋体" w:cs="仿宋"/>
          <w:b/>
          <w:bCs/>
          <w:sz w:val="24"/>
        </w:rPr>
      </w:pPr>
      <w:r>
        <w:rPr>
          <w:rFonts w:hint="eastAsia" w:ascii="宋体" w:hAnsi="宋体" w:cs="仿宋"/>
          <w:b/>
          <w:bCs/>
          <w:sz w:val="24"/>
        </w:rPr>
        <w:t>1 总则</w:t>
      </w:r>
    </w:p>
    <w:p>
      <w:pPr>
        <w:adjustRightInd w:val="0"/>
        <w:snapToGrid w:val="0"/>
        <w:spacing w:line="360" w:lineRule="auto"/>
        <w:jc w:val="both"/>
        <w:rPr>
          <w:rFonts w:ascii="宋体" w:hAnsi="宋体" w:cs="仿宋"/>
          <w:b/>
          <w:bCs/>
          <w:sz w:val="24"/>
        </w:rPr>
      </w:pPr>
      <w:r>
        <w:rPr>
          <w:rFonts w:hint="eastAsia" w:ascii="宋体" w:hAnsi="宋体" w:cs="仿宋"/>
          <w:b/>
          <w:bCs/>
          <w:sz w:val="24"/>
        </w:rPr>
        <w:t>1.1采购方法和评审办法</w:t>
      </w:r>
    </w:p>
    <w:p>
      <w:pPr>
        <w:pStyle w:val="70"/>
        <w:spacing w:before="156" w:after="156" w:line="360" w:lineRule="auto"/>
        <w:ind w:left="426" w:firstLine="48" w:firstLineChars="20"/>
        <w:jc w:val="both"/>
        <w:rPr>
          <w:rFonts w:ascii="宋体" w:hAnsi="宋体" w:eastAsia="宋体" w:cs="仿宋"/>
          <w:sz w:val="24"/>
          <w:szCs w:val="24"/>
        </w:rPr>
      </w:pPr>
      <w:r>
        <w:rPr>
          <w:rFonts w:hint="eastAsia" w:ascii="宋体" w:hAnsi="宋体" w:eastAsia="宋体" w:cs="仿宋"/>
          <w:sz w:val="24"/>
          <w:szCs w:val="24"/>
        </w:rPr>
        <w:t>本项目采用供应商须知前附表规定的采购方式和评审办法。</w:t>
      </w:r>
    </w:p>
    <w:p>
      <w:pPr>
        <w:pStyle w:val="64"/>
        <w:spacing w:line="360" w:lineRule="auto"/>
        <w:ind w:firstLine="0" w:firstLineChars="0"/>
        <w:rPr>
          <w:rFonts w:hAnsi="宋体" w:eastAsia="宋体" w:cs="仿宋"/>
          <w:sz w:val="24"/>
          <w:szCs w:val="24"/>
        </w:rPr>
      </w:pPr>
      <w:r>
        <w:rPr>
          <w:rFonts w:hint="eastAsia" w:hAnsi="宋体" w:eastAsia="宋体" w:cs="仿宋"/>
          <w:sz w:val="24"/>
          <w:szCs w:val="24"/>
        </w:rPr>
        <w:t>1.1.1采购方法</w:t>
      </w:r>
    </w:p>
    <w:p>
      <w:pPr>
        <w:pStyle w:val="64"/>
        <w:spacing w:line="360" w:lineRule="auto"/>
        <w:ind w:firstLine="453" w:firstLineChars="189"/>
        <w:rPr>
          <w:rFonts w:hAnsi="宋体" w:eastAsia="宋体" w:cs="仿宋"/>
          <w:sz w:val="24"/>
          <w:szCs w:val="24"/>
        </w:rPr>
      </w:pPr>
      <w:r>
        <w:rPr>
          <w:rFonts w:hint="eastAsia" w:hAnsi="宋体" w:eastAsia="宋体" w:cs="仿宋"/>
          <w:sz w:val="24"/>
          <w:szCs w:val="24"/>
        </w:rPr>
        <w:t>询价采购，是指按照规定程序就采购项目向符合资格要求的供应商进行询价，通过评审、比较确定成交供应商的采购方式。</w:t>
      </w:r>
    </w:p>
    <w:p>
      <w:pPr>
        <w:pStyle w:val="64"/>
        <w:spacing w:line="360" w:lineRule="auto"/>
        <w:ind w:firstLine="0" w:firstLineChars="0"/>
        <w:rPr>
          <w:rFonts w:hAnsi="宋体" w:eastAsia="宋体" w:cs="仿宋"/>
          <w:sz w:val="24"/>
          <w:szCs w:val="24"/>
        </w:rPr>
      </w:pPr>
      <w:r>
        <w:rPr>
          <w:rFonts w:hint="eastAsia" w:hAnsi="宋体" w:eastAsia="宋体" w:cs="仿宋"/>
          <w:sz w:val="24"/>
          <w:szCs w:val="24"/>
        </w:rPr>
        <w:t>1.1.2评审办法</w:t>
      </w:r>
    </w:p>
    <w:p>
      <w:pPr>
        <w:pStyle w:val="70"/>
        <w:spacing w:beforeLines="0" w:afterLines="0" w:line="360" w:lineRule="auto"/>
        <w:ind w:left="0" w:firstLine="453" w:firstLineChars="189"/>
        <w:jc w:val="both"/>
        <w:rPr>
          <w:rFonts w:ascii="宋体" w:hAnsi="宋体" w:eastAsia="宋体" w:cs="仿宋"/>
          <w:sz w:val="24"/>
          <w:szCs w:val="24"/>
        </w:rPr>
      </w:pPr>
      <w:r>
        <w:rPr>
          <w:rFonts w:hint="eastAsia" w:ascii="宋体" w:hAnsi="宋体" w:eastAsia="宋体" w:cs="仿宋"/>
          <w:color w:val="000000"/>
          <w:sz w:val="24"/>
          <w:szCs w:val="24"/>
        </w:rPr>
        <w:t>综合评分法（性价比法），</w:t>
      </w:r>
      <w:r>
        <w:rPr>
          <w:rFonts w:hint="eastAsia" w:ascii="宋体" w:hAnsi="宋体" w:eastAsia="宋体" w:cs="仿宋"/>
          <w:sz w:val="24"/>
          <w:szCs w:val="24"/>
        </w:rPr>
        <w:t>潜在供应商服务水平有较大差别的，可采用综合评分法，在最大限度地满足采购文件实质性要求前提下，按照采购文件规定的要求对供应商的商务、技术和价格等进行综合评审，根据需求，按评审最终得分排名先后顺序依次推荐中选供应商的评审办法。按综合性能最优原则确定成交供应商。</w:t>
      </w:r>
    </w:p>
    <w:p>
      <w:pPr>
        <w:adjustRightInd w:val="0"/>
        <w:snapToGrid w:val="0"/>
        <w:spacing w:line="360" w:lineRule="auto"/>
        <w:jc w:val="both"/>
        <w:rPr>
          <w:rFonts w:ascii="宋体" w:hAnsi="宋体" w:cs="仿宋"/>
          <w:b/>
          <w:bCs/>
          <w:sz w:val="24"/>
        </w:rPr>
      </w:pPr>
      <w:r>
        <w:rPr>
          <w:rFonts w:hint="eastAsia" w:ascii="宋体" w:hAnsi="宋体" w:cs="仿宋"/>
          <w:b/>
          <w:bCs/>
          <w:sz w:val="24"/>
        </w:rPr>
        <w:t>1.2采购项目概况和供应商资格要求</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采购项目概况和供应商资格要求见第一章“采购公告”。</w:t>
      </w:r>
    </w:p>
    <w:p>
      <w:pPr>
        <w:adjustRightInd w:val="0"/>
        <w:snapToGrid w:val="0"/>
        <w:spacing w:line="360" w:lineRule="auto"/>
        <w:jc w:val="both"/>
        <w:rPr>
          <w:rFonts w:ascii="宋体" w:hAnsi="宋体" w:cs="仿宋"/>
          <w:b/>
          <w:bCs/>
          <w:sz w:val="24"/>
        </w:rPr>
      </w:pPr>
      <w:r>
        <w:rPr>
          <w:rFonts w:hint="eastAsia" w:ascii="宋体" w:hAnsi="宋体" w:cs="仿宋"/>
          <w:b/>
          <w:bCs/>
          <w:sz w:val="24"/>
        </w:rPr>
        <w:t>1.3 费用承担</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供应商准备和参加采购活动所发生的各种费用由供应商自行承担。</w:t>
      </w:r>
    </w:p>
    <w:p>
      <w:pPr>
        <w:adjustRightInd w:val="0"/>
        <w:snapToGrid w:val="0"/>
        <w:spacing w:line="360" w:lineRule="auto"/>
        <w:jc w:val="both"/>
        <w:rPr>
          <w:rFonts w:ascii="宋体" w:hAnsi="宋体" w:cs="仿宋"/>
          <w:b/>
          <w:bCs/>
          <w:sz w:val="24"/>
        </w:rPr>
      </w:pPr>
      <w:r>
        <w:rPr>
          <w:rFonts w:hint="eastAsia" w:ascii="宋体" w:hAnsi="宋体" w:cs="仿宋"/>
          <w:b/>
          <w:bCs/>
          <w:sz w:val="24"/>
        </w:rPr>
        <w:t>1.4保密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参加采购活动的各方应对采购文件和响应文件中的商业和技术等秘密保密，否则应承担相应的法律责任。</w:t>
      </w:r>
    </w:p>
    <w:p>
      <w:pPr>
        <w:adjustRightInd w:val="0"/>
        <w:snapToGrid w:val="0"/>
        <w:spacing w:line="360" w:lineRule="auto"/>
        <w:jc w:val="both"/>
        <w:rPr>
          <w:rFonts w:ascii="宋体" w:hAnsi="宋体" w:cs="仿宋"/>
          <w:b/>
          <w:bCs/>
          <w:sz w:val="24"/>
        </w:rPr>
      </w:pPr>
      <w:r>
        <w:rPr>
          <w:rFonts w:hint="eastAsia" w:ascii="宋体" w:hAnsi="宋体" w:cs="仿宋"/>
          <w:b/>
          <w:bCs/>
          <w:sz w:val="24"/>
        </w:rPr>
        <w:t>1.5语言文字</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采购文件和响应文件使用的语言文字为中文。专用术语使用外文的，应附有中文注释。</w:t>
      </w:r>
    </w:p>
    <w:p>
      <w:pPr>
        <w:adjustRightInd w:val="0"/>
        <w:snapToGrid w:val="0"/>
        <w:spacing w:line="360" w:lineRule="auto"/>
        <w:jc w:val="both"/>
        <w:rPr>
          <w:rFonts w:ascii="宋体" w:hAnsi="宋体" w:cs="仿宋"/>
          <w:b/>
          <w:bCs/>
          <w:sz w:val="24"/>
        </w:rPr>
      </w:pPr>
      <w:r>
        <w:rPr>
          <w:rFonts w:hint="eastAsia" w:ascii="宋体" w:hAnsi="宋体" w:cs="仿宋"/>
          <w:b/>
          <w:bCs/>
          <w:sz w:val="24"/>
        </w:rPr>
        <w:t>1.6计量单位</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所有计量均采用中华人民共和国法定计量单位。</w:t>
      </w:r>
    </w:p>
    <w:p>
      <w:pPr>
        <w:adjustRightInd w:val="0"/>
        <w:snapToGrid w:val="0"/>
        <w:spacing w:line="360" w:lineRule="auto"/>
        <w:jc w:val="both"/>
        <w:rPr>
          <w:rFonts w:ascii="宋体" w:hAnsi="宋体" w:cs="仿宋"/>
          <w:b/>
          <w:bCs/>
          <w:sz w:val="24"/>
        </w:rPr>
      </w:pPr>
      <w:r>
        <w:rPr>
          <w:rFonts w:hint="eastAsia" w:ascii="宋体" w:hAnsi="宋体" w:cs="仿宋"/>
          <w:b/>
          <w:bCs/>
          <w:sz w:val="24"/>
        </w:rPr>
        <w:t>1.7踏勘现场（本项目不组织踏勘现场）</w:t>
      </w:r>
    </w:p>
    <w:p>
      <w:pPr>
        <w:adjustRightInd w:val="0"/>
        <w:snapToGrid w:val="0"/>
        <w:spacing w:line="360" w:lineRule="auto"/>
        <w:jc w:val="both"/>
        <w:rPr>
          <w:rFonts w:ascii="宋体" w:hAnsi="宋体" w:cs="仿宋"/>
          <w:b/>
          <w:bCs/>
          <w:sz w:val="24"/>
        </w:rPr>
      </w:pPr>
      <w:r>
        <w:rPr>
          <w:rFonts w:hint="eastAsia" w:ascii="宋体" w:hAnsi="宋体" w:cs="仿宋"/>
          <w:b/>
          <w:bCs/>
          <w:sz w:val="24"/>
        </w:rPr>
        <w:t>1.8采购预备会（本项目不组织采购预备会）</w:t>
      </w:r>
    </w:p>
    <w:p>
      <w:pPr>
        <w:adjustRightInd w:val="0"/>
        <w:snapToGrid w:val="0"/>
        <w:spacing w:line="360" w:lineRule="auto"/>
        <w:jc w:val="both"/>
        <w:rPr>
          <w:rFonts w:ascii="宋体" w:hAnsi="宋体" w:cs="仿宋"/>
          <w:b/>
          <w:bCs/>
          <w:sz w:val="24"/>
        </w:rPr>
      </w:pPr>
      <w:r>
        <w:rPr>
          <w:rFonts w:hint="eastAsia" w:ascii="宋体" w:hAnsi="宋体" w:cs="仿宋"/>
          <w:b/>
          <w:bCs/>
          <w:sz w:val="24"/>
        </w:rPr>
        <w:t>1.9主要材料和关键部件外购</w:t>
      </w:r>
    </w:p>
    <w:p>
      <w:pPr>
        <w:spacing w:line="360" w:lineRule="auto"/>
        <w:ind w:firstLine="453" w:firstLineChars="189"/>
        <w:jc w:val="both"/>
      </w:pPr>
      <w:r>
        <w:rPr>
          <w:rFonts w:hint="eastAsia" w:ascii="宋体" w:hAnsi="宋体" w:cs="仿宋"/>
          <w:sz w:val="24"/>
        </w:rPr>
        <w:t>供应商拟对主要材料和关键部件进行外购的，应符合第五章“采购需求”中提出的或允许外购的相关规定，并在响应文件中作出说明。</w:t>
      </w:r>
    </w:p>
    <w:p>
      <w:pPr>
        <w:adjustRightInd w:val="0"/>
        <w:snapToGrid w:val="0"/>
        <w:spacing w:line="360" w:lineRule="auto"/>
        <w:jc w:val="both"/>
        <w:rPr>
          <w:rFonts w:ascii="宋体" w:hAnsi="宋体" w:cs="仿宋"/>
          <w:b/>
          <w:bCs/>
          <w:sz w:val="24"/>
        </w:rPr>
      </w:pPr>
      <w:r>
        <w:rPr>
          <w:rFonts w:hint="eastAsia" w:ascii="宋体" w:hAnsi="宋体" w:cs="仿宋"/>
          <w:b/>
          <w:bCs/>
          <w:sz w:val="24"/>
        </w:rPr>
        <w:t>1.10响应和偏差</w:t>
      </w:r>
    </w:p>
    <w:p>
      <w:pPr>
        <w:adjustRightInd w:val="0"/>
        <w:snapToGrid w:val="0"/>
        <w:spacing w:line="360" w:lineRule="auto"/>
        <w:jc w:val="both"/>
        <w:rPr>
          <w:rFonts w:ascii="宋体" w:hAnsi="宋体" w:cs="仿宋"/>
          <w:sz w:val="24"/>
        </w:rPr>
      </w:pPr>
      <w:r>
        <w:rPr>
          <w:rFonts w:hint="eastAsia" w:ascii="宋体" w:hAnsi="宋体" w:cs="仿宋"/>
          <w:sz w:val="24"/>
        </w:rPr>
        <w:t>1.10.1采购需求和合同草案中的关键条款均以“*”符号标记。响应文件应当对采购需求和合同草案的关键条款作出满足性或更有利于采购人的响应，否则，供应商的响应文件将被视为无效。</w:t>
      </w:r>
    </w:p>
    <w:p>
      <w:pPr>
        <w:adjustRightInd w:val="0"/>
        <w:snapToGrid w:val="0"/>
        <w:spacing w:line="360" w:lineRule="auto"/>
        <w:ind w:left="105" w:leftChars="50"/>
        <w:jc w:val="both"/>
        <w:rPr>
          <w:rFonts w:ascii="宋体" w:hAnsi="宋体" w:cs="仿宋"/>
          <w:sz w:val="24"/>
        </w:rPr>
      </w:pPr>
      <w:r>
        <w:rPr>
          <w:rFonts w:hint="eastAsia" w:ascii="宋体" w:hAnsi="宋体" w:cs="仿宋"/>
          <w:sz w:val="24"/>
        </w:rPr>
        <w:t>1.10.2供应商须知前附表规定了对非关键条款允许偏差的范围和可以偏差的项数的，如响应文件存在的偏差超出上述范围或项数，将被视为无效。</w:t>
      </w:r>
    </w:p>
    <w:p>
      <w:pPr>
        <w:adjustRightInd w:val="0"/>
        <w:snapToGrid w:val="0"/>
        <w:spacing w:line="360" w:lineRule="auto"/>
        <w:jc w:val="both"/>
        <w:rPr>
          <w:rFonts w:ascii="宋体" w:hAnsi="宋体" w:cs="仿宋"/>
          <w:b/>
          <w:bCs/>
          <w:sz w:val="24"/>
        </w:rPr>
      </w:pPr>
      <w:r>
        <w:rPr>
          <w:rFonts w:hint="eastAsia" w:ascii="宋体" w:hAnsi="宋体" w:cs="仿宋"/>
          <w:b/>
          <w:bCs/>
          <w:sz w:val="24"/>
        </w:rPr>
        <w:t>2采购文件</w:t>
      </w:r>
    </w:p>
    <w:p>
      <w:pPr>
        <w:adjustRightInd w:val="0"/>
        <w:snapToGrid w:val="0"/>
        <w:spacing w:line="360" w:lineRule="auto"/>
        <w:jc w:val="both"/>
        <w:rPr>
          <w:rFonts w:ascii="宋体" w:hAnsi="宋体" w:cs="仿宋"/>
          <w:b/>
          <w:bCs/>
          <w:sz w:val="24"/>
        </w:rPr>
      </w:pPr>
      <w:r>
        <w:rPr>
          <w:rFonts w:hint="eastAsia" w:ascii="宋体" w:hAnsi="宋体" w:cs="仿宋"/>
          <w:b/>
          <w:bCs/>
          <w:sz w:val="24"/>
        </w:rPr>
        <w:t>2.1采购文件的组成</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本采购文件包括:</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(1)采购公告:</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(2)供应商须知;</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(3)评审办法;</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(4)合同条款及格式;</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(5)采购需求;</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(6)响应文件格式;</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(7)供应商须知前附表规定的其他资料。</w:t>
      </w:r>
    </w:p>
    <w:p>
      <w:pPr>
        <w:adjustRightInd w:val="0"/>
        <w:snapToGrid w:val="0"/>
        <w:spacing w:line="360" w:lineRule="auto"/>
        <w:ind w:left="105" w:leftChars="50" w:firstLine="453" w:firstLineChars="189"/>
        <w:jc w:val="both"/>
        <w:rPr>
          <w:rFonts w:ascii="宋体" w:hAnsi="宋体" w:cs="仿宋"/>
          <w:sz w:val="24"/>
        </w:rPr>
      </w:pPr>
      <w:r>
        <w:rPr>
          <w:rFonts w:hint="eastAsia" w:ascii="宋体" w:hAnsi="宋体" w:cs="仿宋"/>
          <w:sz w:val="24"/>
        </w:rPr>
        <w:t>采购人依照本章规定，对采购文件所作的澄清、修改，构成采购文件的组成部分。</w:t>
      </w:r>
    </w:p>
    <w:p>
      <w:pPr>
        <w:adjustRightInd w:val="0"/>
        <w:snapToGrid w:val="0"/>
        <w:spacing w:line="360" w:lineRule="auto"/>
        <w:jc w:val="both"/>
        <w:rPr>
          <w:rFonts w:ascii="宋体" w:hAnsi="宋体" w:cs="仿宋"/>
          <w:b/>
          <w:bCs/>
          <w:sz w:val="24"/>
        </w:rPr>
      </w:pPr>
      <w:r>
        <w:rPr>
          <w:rFonts w:hint="eastAsia" w:ascii="宋体" w:hAnsi="宋体" w:cs="仿宋"/>
          <w:b/>
          <w:bCs/>
          <w:sz w:val="24"/>
        </w:rPr>
        <w:t>2.2采购文件的澄清和修改</w:t>
      </w:r>
    </w:p>
    <w:p>
      <w:pPr>
        <w:adjustRightInd w:val="0"/>
        <w:snapToGrid w:val="0"/>
        <w:spacing w:line="360" w:lineRule="auto"/>
        <w:ind w:left="105" w:leftChars="50"/>
        <w:jc w:val="both"/>
        <w:rPr>
          <w:rFonts w:ascii="宋体" w:hAnsi="宋体" w:cs="仿宋"/>
          <w:sz w:val="24"/>
        </w:rPr>
      </w:pPr>
      <w:r>
        <w:rPr>
          <w:rFonts w:hint="eastAsia" w:ascii="宋体" w:hAnsi="宋体" w:cs="仿宋"/>
          <w:sz w:val="24"/>
        </w:rPr>
        <w:t>2.2.1供应商应仔细阅读和检查采购文件的全部内容。如发现缺页或内容不全，应及时向采购人提出，以便补齐。如有疑问，应在供应商须知前附表规定的时间前，以书面形式要求采购人对采购文件予以澄清。</w:t>
      </w:r>
    </w:p>
    <w:p>
      <w:pPr>
        <w:adjustRightInd w:val="0"/>
        <w:snapToGrid w:val="0"/>
        <w:spacing w:line="360" w:lineRule="auto"/>
        <w:ind w:left="105" w:leftChars="50"/>
        <w:jc w:val="both"/>
        <w:rPr>
          <w:rFonts w:ascii="宋体" w:hAnsi="宋体" w:cs="仿宋"/>
          <w:sz w:val="24"/>
        </w:rPr>
      </w:pPr>
      <w:r>
        <w:rPr>
          <w:rFonts w:hint="eastAsia" w:ascii="宋体" w:hAnsi="宋体" w:cs="仿宋"/>
          <w:sz w:val="24"/>
        </w:rPr>
        <w:t>2.2.2采购人可根据供应商的要求或主动对采购文件进行澄清或修改。澄清或修改的内容以补充文件的形式发给所有获取采购文件的供应商。采购人可视具体情况在补充文件中通知供应商推迟递交响应文件的截止时间。</w:t>
      </w:r>
    </w:p>
    <w:p>
      <w:pPr>
        <w:adjustRightInd w:val="0"/>
        <w:snapToGrid w:val="0"/>
        <w:spacing w:line="360" w:lineRule="auto"/>
        <w:ind w:left="105" w:leftChars="50"/>
        <w:jc w:val="both"/>
        <w:rPr>
          <w:rFonts w:ascii="宋体" w:hAnsi="宋体" w:cs="仿宋"/>
          <w:sz w:val="24"/>
        </w:rPr>
      </w:pPr>
      <w:r>
        <w:rPr>
          <w:rFonts w:hint="eastAsia" w:ascii="宋体" w:hAnsi="宋体" w:cs="仿宋"/>
          <w:sz w:val="24"/>
        </w:rPr>
        <w:t>2.2.3供应商在收到补充文件后，应按供应商须知前附表规定的时间和方式通知采购人，确认已收到该补充文件。</w:t>
      </w:r>
    </w:p>
    <w:p>
      <w:pPr>
        <w:adjustRightInd w:val="0"/>
        <w:snapToGrid w:val="0"/>
        <w:spacing w:line="360" w:lineRule="auto"/>
        <w:ind w:left="105" w:leftChars="50"/>
        <w:jc w:val="both"/>
        <w:rPr>
          <w:rFonts w:ascii="宋体" w:hAnsi="宋体" w:cs="仿宋"/>
          <w:sz w:val="24"/>
        </w:rPr>
      </w:pPr>
      <w:r>
        <w:rPr>
          <w:rFonts w:hint="eastAsia" w:ascii="宋体" w:hAnsi="宋体" w:cs="仿宋"/>
          <w:sz w:val="24"/>
        </w:rPr>
        <w:t>2.2.4除非确有必要，采购人有权拒绝回复供应商在本章第2.2.1项规定的时间后提出的任何澄清要求。</w:t>
      </w:r>
    </w:p>
    <w:p>
      <w:pPr>
        <w:adjustRightInd w:val="0"/>
        <w:snapToGrid w:val="0"/>
        <w:spacing w:line="360" w:lineRule="auto"/>
        <w:jc w:val="both"/>
        <w:rPr>
          <w:rFonts w:ascii="宋体" w:hAnsi="宋体" w:cs="仿宋"/>
          <w:b/>
          <w:bCs/>
          <w:sz w:val="24"/>
        </w:rPr>
      </w:pPr>
      <w:r>
        <w:rPr>
          <w:rFonts w:hint="eastAsia" w:ascii="宋体" w:hAnsi="宋体" w:cs="仿宋"/>
          <w:b/>
          <w:bCs/>
          <w:sz w:val="24"/>
        </w:rPr>
        <w:t>3响应文件</w:t>
      </w:r>
    </w:p>
    <w:p>
      <w:pPr>
        <w:adjustRightInd w:val="0"/>
        <w:snapToGrid w:val="0"/>
        <w:spacing w:line="360" w:lineRule="auto"/>
        <w:jc w:val="both"/>
        <w:rPr>
          <w:rFonts w:ascii="宋体" w:hAnsi="宋体" w:cs="仿宋"/>
          <w:b/>
          <w:bCs/>
          <w:sz w:val="24"/>
        </w:rPr>
      </w:pPr>
      <w:r>
        <w:rPr>
          <w:rFonts w:hint="eastAsia" w:ascii="宋体" w:hAnsi="宋体" w:cs="仿宋"/>
          <w:b/>
          <w:bCs/>
          <w:sz w:val="24"/>
        </w:rPr>
        <w:t>3.1响应文件的组成</w:t>
      </w:r>
    </w:p>
    <w:p>
      <w:pPr>
        <w:adjustRightInd w:val="0"/>
        <w:snapToGrid w:val="0"/>
        <w:spacing w:line="360" w:lineRule="auto"/>
        <w:jc w:val="both"/>
        <w:rPr>
          <w:rFonts w:ascii="宋体" w:hAnsi="宋体" w:cs="仿宋"/>
          <w:sz w:val="24"/>
        </w:rPr>
      </w:pPr>
      <w:r>
        <w:rPr>
          <w:rFonts w:hint="eastAsia" w:ascii="宋体" w:hAnsi="宋体" w:cs="仿宋"/>
          <w:sz w:val="24"/>
        </w:rPr>
        <w:t>3.1.1响应文件应包括下列内容:</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(1)响应函;</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(2)授权委托书(如有);</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(3)商务和技术偏差表;</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(4)报价表;</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(5)资格审查资料;</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(6)响应方案;</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(7)供应商须知前附表规定的其他资料。</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供应商在评审过程中作出的符合采购文件要求的澄清、说明和补正，构成响应文件的组成部分。</w:t>
      </w:r>
    </w:p>
    <w:p>
      <w:pPr>
        <w:adjustRightInd w:val="0"/>
        <w:snapToGrid w:val="0"/>
        <w:spacing w:line="360" w:lineRule="auto"/>
        <w:jc w:val="both"/>
        <w:rPr>
          <w:rFonts w:ascii="宋体" w:hAnsi="宋体" w:cs="仿宋"/>
          <w:sz w:val="24"/>
        </w:rPr>
      </w:pPr>
      <w:r>
        <w:rPr>
          <w:rFonts w:hint="eastAsia" w:ascii="宋体" w:hAnsi="宋体" w:cs="仿宋"/>
          <w:sz w:val="24"/>
        </w:rPr>
        <w:t>3.1.2供应商的法定代表人(单位负责人)亲自签署响应文件、亲自参加采购的，响应文件不包括第3.1.1(2)目所指的授权委托书。</w:t>
      </w:r>
    </w:p>
    <w:p>
      <w:pPr>
        <w:adjustRightInd w:val="0"/>
        <w:snapToGrid w:val="0"/>
        <w:spacing w:line="360" w:lineRule="auto"/>
        <w:jc w:val="both"/>
        <w:rPr>
          <w:rFonts w:ascii="宋体" w:hAnsi="宋体" w:cs="仿宋"/>
          <w:b/>
          <w:bCs/>
          <w:sz w:val="24"/>
        </w:rPr>
      </w:pPr>
      <w:r>
        <w:rPr>
          <w:rFonts w:hint="eastAsia" w:ascii="宋体" w:hAnsi="宋体" w:cs="仿宋"/>
          <w:b/>
          <w:bCs/>
          <w:sz w:val="24"/>
        </w:rPr>
        <w:t>3.2报价</w:t>
      </w:r>
    </w:p>
    <w:p>
      <w:pPr>
        <w:adjustRightInd w:val="0"/>
        <w:snapToGrid w:val="0"/>
        <w:spacing w:line="360" w:lineRule="auto"/>
        <w:jc w:val="both"/>
        <w:rPr>
          <w:rFonts w:ascii="宋体" w:hAnsi="宋体" w:cs="仿宋"/>
          <w:color w:val="FF0000"/>
          <w:sz w:val="24"/>
        </w:rPr>
      </w:pPr>
      <w:r>
        <w:rPr>
          <w:rFonts w:hint="eastAsia" w:ascii="宋体" w:hAnsi="宋体" w:cs="仿宋"/>
          <w:sz w:val="24"/>
        </w:rPr>
        <w:t>3.2.1供应商应按采购文件提供的格式(见第六章“响应文件格式”)在响应函和报价表中进行报价。响应函中报价应为包含国家规定的增值税在内的含税价格，同时应列明不含税价格和增值税税额，采购人将根据项目情况，在第三章“评审办法</w:t>
      </w:r>
      <w:r>
        <w:rPr>
          <w:rFonts w:ascii="宋体" w:hAnsi="宋体" w:cs="仿宋"/>
          <w:sz w:val="24"/>
        </w:rPr>
        <w:t>"</w:t>
      </w:r>
      <w:r>
        <w:rPr>
          <w:rFonts w:hint="eastAsia" w:ascii="宋体" w:hAnsi="宋体" w:cs="仿宋"/>
          <w:sz w:val="24"/>
        </w:rPr>
        <w:t>第</w:t>
      </w:r>
      <w:r>
        <w:rPr>
          <w:rFonts w:ascii="宋体" w:hAnsi="宋体" w:cs="仿宋"/>
          <w:sz w:val="24"/>
        </w:rPr>
        <w:t>2.2.2项中选择按照含税价格或不含税价格对供应商进行价格评审。</w:t>
      </w:r>
    </w:p>
    <w:p>
      <w:pPr>
        <w:adjustRightInd w:val="0"/>
        <w:snapToGrid w:val="0"/>
        <w:spacing w:line="360" w:lineRule="auto"/>
        <w:jc w:val="both"/>
        <w:rPr>
          <w:rFonts w:ascii="宋体" w:hAnsi="宋体" w:cs="仿宋"/>
          <w:sz w:val="24"/>
        </w:rPr>
      </w:pPr>
      <w:r>
        <w:rPr>
          <w:rFonts w:hint="eastAsia" w:ascii="宋体" w:hAnsi="宋体" w:cs="仿宋"/>
          <w:sz w:val="24"/>
        </w:rPr>
        <w:t>3.2.2供应商应充分了解采购项目的总体情况以及影响报价的其他要素。对于货物和服务采购项目，采购人在签署采购合同时及合同履行过程中，有权在供应商须知前附表规定的幅度内对采购标的的数量进行增加或减少。</w:t>
      </w:r>
    </w:p>
    <w:p>
      <w:pPr>
        <w:adjustRightInd w:val="0"/>
        <w:snapToGrid w:val="0"/>
        <w:spacing w:line="360" w:lineRule="auto"/>
        <w:jc w:val="both"/>
        <w:rPr>
          <w:rFonts w:ascii="宋体" w:hAnsi="宋体" w:cs="仿宋"/>
          <w:sz w:val="24"/>
        </w:rPr>
      </w:pPr>
      <w:r>
        <w:rPr>
          <w:rFonts w:hint="eastAsia" w:ascii="宋体" w:hAnsi="宋体" w:cs="仿宋"/>
          <w:sz w:val="24"/>
        </w:rPr>
        <w:t>3.2.3采购人设有最高限价的，供应商的报价不得超过最高限价。最高限价或最高限价计算方法在供应商须知前附表中载明。</w:t>
      </w:r>
    </w:p>
    <w:p>
      <w:pPr>
        <w:adjustRightInd w:val="0"/>
        <w:snapToGrid w:val="0"/>
        <w:spacing w:line="360" w:lineRule="auto"/>
        <w:jc w:val="both"/>
        <w:rPr>
          <w:rFonts w:ascii="宋体" w:hAnsi="宋体" w:cs="仿宋"/>
          <w:sz w:val="24"/>
        </w:rPr>
      </w:pPr>
      <w:r>
        <w:rPr>
          <w:rFonts w:hint="eastAsia" w:ascii="宋体" w:hAnsi="宋体" w:cs="仿宋"/>
          <w:sz w:val="24"/>
        </w:rPr>
        <w:t>3.2.4报价的其他要求见供应商须知前附表。</w:t>
      </w:r>
    </w:p>
    <w:p>
      <w:pPr>
        <w:adjustRightInd w:val="0"/>
        <w:snapToGrid w:val="0"/>
        <w:spacing w:line="360" w:lineRule="auto"/>
        <w:jc w:val="both"/>
        <w:rPr>
          <w:rFonts w:ascii="宋体" w:hAnsi="宋体" w:cs="仿宋"/>
          <w:b/>
          <w:bCs/>
          <w:sz w:val="24"/>
        </w:rPr>
      </w:pPr>
      <w:r>
        <w:rPr>
          <w:rFonts w:hint="eastAsia" w:ascii="宋体" w:hAnsi="宋体" w:cs="仿宋"/>
          <w:b/>
          <w:bCs/>
          <w:sz w:val="24"/>
        </w:rPr>
        <w:t>3.3响应文件有效期</w:t>
      </w:r>
    </w:p>
    <w:p>
      <w:pPr>
        <w:adjustRightInd w:val="0"/>
        <w:snapToGrid w:val="0"/>
        <w:spacing w:line="360" w:lineRule="auto"/>
        <w:jc w:val="both"/>
        <w:rPr>
          <w:rFonts w:ascii="宋体" w:hAnsi="宋体" w:cs="仿宋"/>
          <w:sz w:val="24"/>
        </w:rPr>
      </w:pPr>
      <w:r>
        <w:rPr>
          <w:rFonts w:hint="eastAsia" w:ascii="宋体" w:hAnsi="宋体" w:cs="仿宋"/>
          <w:sz w:val="24"/>
        </w:rPr>
        <w:t>3.3.1除供应商须知前附表另有规定外，响应文件有效期应为90日，从采购文件规定的递交响应文件的截止时间开始计算。</w:t>
      </w:r>
    </w:p>
    <w:p>
      <w:pPr>
        <w:adjustRightInd w:val="0"/>
        <w:snapToGrid w:val="0"/>
        <w:spacing w:line="360" w:lineRule="auto"/>
        <w:jc w:val="both"/>
        <w:rPr>
          <w:rFonts w:ascii="宋体" w:hAnsi="宋体" w:cs="仿宋"/>
          <w:sz w:val="24"/>
        </w:rPr>
      </w:pPr>
      <w:r>
        <w:rPr>
          <w:rFonts w:hint="eastAsia" w:ascii="宋体" w:hAnsi="宋体" w:cs="仿宋"/>
          <w:sz w:val="24"/>
        </w:rPr>
        <w:t>3.3.2出现特殊情况需要延长响应文件有效期，采购人以书面形式通知所有供应商延长响应文件有效期的，供应商应予以书面答复。同意延长的，应相应延长其响应保证金的有效期，但不得修改其响应文件；供应商商拒绝延长的，其响应文件在原有效期届满后失效，但供应商有权收回其响应保证金。</w:t>
      </w:r>
    </w:p>
    <w:p>
      <w:pPr>
        <w:adjustRightInd w:val="0"/>
        <w:snapToGrid w:val="0"/>
        <w:spacing w:line="360" w:lineRule="auto"/>
        <w:jc w:val="both"/>
        <w:rPr>
          <w:rFonts w:ascii="宋体" w:hAnsi="宋体" w:cs="仿宋"/>
          <w:b/>
          <w:bCs/>
          <w:sz w:val="24"/>
        </w:rPr>
      </w:pPr>
      <w:r>
        <w:rPr>
          <w:rFonts w:hint="eastAsia" w:ascii="宋体" w:hAnsi="宋体" w:cs="仿宋"/>
          <w:b/>
          <w:bCs/>
          <w:sz w:val="24"/>
        </w:rPr>
        <w:t>3.4响应保证金（本项目不提交响应保证金）</w:t>
      </w:r>
    </w:p>
    <w:p>
      <w:pPr>
        <w:adjustRightInd w:val="0"/>
        <w:snapToGrid w:val="0"/>
        <w:spacing w:line="360" w:lineRule="auto"/>
        <w:ind w:left="120" w:hanging="120" w:hangingChars="50"/>
        <w:jc w:val="both"/>
        <w:rPr>
          <w:rFonts w:ascii="宋体" w:hAnsi="宋体" w:cs="仿宋"/>
          <w:b/>
          <w:bCs/>
          <w:sz w:val="24"/>
        </w:rPr>
      </w:pPr>
      <w:r>
        <w:rPr>
          <w:rFonts w:hint="eastAsia" w:ascii="宋体" w:hAnsi="宋体" w:cs="仿宋"/>
          <w:b/>
          <w:bCs/>
          <w:sz w:val="24"/>
        </w:rPr>
        <w:t>3.5资格审查资料</w:t>
      </w:r>
    </w:p>
    <w:p>
      <w:pPr>
        <w:adjustRightInd w:val="0"/>
        <w:snapToGrid w:val="0"/>
        <w:spacing w:line="360" w:lineRule="auto"/>
        <w:ind w:left="149" w:leftChars="71" w:firstLine="360" w:firstLineChars="150"/>
        <w:jc w:val="both"/>
        <w:rPr>
          <w:rFonts w:ascii="宋体" w:hAnsi="宋体" w:cs="仿宋"/>
          <w:sz w:val="24"/>
        </w:rPr>
      </w:pPr>
      <w:r>
        <w:rPr>
          <w:rFonts w:hint="eastAsia" w:ascii="宋体" w:hAnsi="宋体" w:cs="仿宋"/>
          <w:sz w:val="24"/>
        </w:rPr>
        <w:t>供应商应提供供应商须知前附表3.5(1)-3.5(9)中规定的资格审查资料，以证明其满足第一章“采购公告”对供应商的各项资格要求。</w:t>
      </w:r>
    </w:p>
    <w:p>
      <w:pPr>
        <w:adjustRightInd w:val="0"/>
        <w:snapToGrid w:val="0"/>
        <w:spacing w:line="360" w:lineRule="auto"/>
        <w:jc w:val="both"/>
        <w:rPr>
          <w:rFonts w:ascii="宋体" w:hAnsi="宋体" w:cs="仿宋"/>
          <w:b/>
          <w:bCs/>
          <w:sz w:val="24"/>
        </w:rPr>
      </w:pPr>
      <w:r>
        <w:rPr>
          <w:rFonts w:hint="eastAsia" w:ascii="宋体" w:hAnsi="宋体" w:cs="仿宋"/>
          <w:b/>
          <w:bCs/>
          <w:sz w:val="24"/>
        </w:rPr>
        <w:t>3.6响应方案</w:t>
      </w:r>
    </w:p>
    <w:p>
      <w:pPr>
        <w:adjustRightInd w:val="0"/>
        <w:snapToGrid w:val="0"/>
        <w:spacing w:line="360" w:lineRule="auto"/>
        <w:jc w:val="both"/>
        <w:rPr>
          <w:rFonts w:ascii="宋体" w:hAnsi="宋体" w:cs="仿宋"/>
          <w:sz w:val="24"/>
        </w:rPr>
      </w:pPr>
      <w:r>
        <w:rPr>
          <w:rFonts w:hint="eastAsia" w:ascii="宋体" w:hAnsi="宋体" w:cs="仿宋"/>
          <w:sz w:val="24"/>
        </w:rPr>
        <w:t>3.6.1响应文件应当对采购文件中的实质性内容作出响应。采购需求中明确为关键条款(标记“*”)的，供应商还应按照供应商须知前附表的规定提供有关证据或证明材料。</w:t>
      </w:r>
    </w:p>
    <w:p>
      <w:pPr>
        <w:adjustRightInd w:val="0"/>
        <w:snapToGrid w:val="0"/>
        <w:spacing w:line="360" w:lineRule="auto"/>
        <w:jc w:val="both"/>
        <w:rPr>
          <w:rFonts w:ascii="宋体" w:hAnsi="宋体" w:cs="仿宋"/>
          <w:sz w:val="24"/>
        </w:rPr>
      </w:pPr>
      <w:r>
        <w:rPr>
          <w:rFonts w:hint="eastAsia" w:ascii="宋体" w:hAnsi="宋体" w:cs="仿宋"/>
          <w:sz w:val="24"/>
        </w:rPr>
        <w:t>3.6.2供应商只能提出唯一的响应方案。供应商在响应文件中提出多个响应方案的，其响应文件将被视为无效。</w:t>
      </w:r>
    </w:p>
    <w:p>
      <w:pPr>
        <w:adjustRightInd w:val="0"/>
        <w:snapToGrid w:val="0"/>
        <w:spacing w:line="360" w:lineRule="auto"/>
        <w:jc w:val="both"/>
        <w:rPr>
          <w:rFonts w:ascii="宋体" w:hAnsi="宋体" w:cs="仿宋"/>
          <w:sz w:val="24"/>
        </w:rPr>
      </w:pPr>
      <w:r>
        <w:rPr>
          <w:rFonts w:hint="eastAsia" w:ascii="宋体" w:hAnsi="宋体" w:cs="仿宋"/>
          <w:sz w:val="24"/>
        </w:rPr>
        <w:t>3.6.3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adjustRightInd w:val="0"/>
        <w:snapToGrid w:val="0"/>
        <w:spacing w:line="360" w:lineRule="auto"/>
        <w:jc w:val="both"/>
        <w:rPr>
          <w:rFonts w:ascii="宋体" w:hAnsi="宋体" w:cs="仿宋"/>
          <w:b/>
          <w:bCs/>
          <w:sz w:val="24"/>
        </w:rPr>
      </w:pPr>
      <w:r>
        <w:rPr>
          <w:rFonts w:hint="eastAsia" w:ascii="宋体" w:hAnsi="宋体" w:cs="仿宋"/>
          <w:b/>
          <w:bCs/>
          <w:sz w:val="24"/>
        </w:rPr>
        <w:t>3.7响应文件的编制</w:t>
      </w:r>
    </w:p>
    <w:p>
      <w:pPr>
        <w:adjustRightInd w:val="0"/>
        <w:snapToGrid w:val="0"/>
        <w:spacing w:line="360" w:lineRule="auto"/>
        <w:jc w:val="both"/>
        <w:rPr>
          <w:rFonts w:ascii="宋体" w:hAnsi="宋体" w:cs="仿宋"/>
          <w:sz w:val="24"/>
        </w:rPr>
      </w:pPr>
      <w:r>
        <w:rPr>
          <w:rFonts w:hint="eastAsia" w:ascii="宋体" w:hAnsi="宋体" w:cs="仿宋"/>
          <w:sz w:val="24"/>
        </w:rPr>
        <w:t>3.7.1响应文件应按第六章“响应文件格式”进行编写，如有必要，可以增加附件作为响应文件的组成部分。</w:t>
      </w:r>
    </w:p>
    <w:p>
      <w:pPr>
        <w:adjustRightInd w:val="0"/>
        <w:snapToGrid w:val="0"/>
        <w:spacing w:line="360" w:lineRule="auto"/>
        <w:jc w:val="both"/>
        <w:rPr>
          <w:rFonts w:ascii="宋体" w:hAnsi="宋体" w:cs="仿宋"/>
          <w:sz w:val="24"/>
        </w:rPr>
      </w:pPr>
      <w:r>
        <w:rPr>
          <w:rFonts w:hint="eastAsia" w:ascii="宋体" w:hAnsi="宋体" w:cs="仿宋"/>
          <w:sz w:val="24"/>
        </w:rPr>
        <w:t>3.7.2响应文件应用不褪色的的材料书写或打印。</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响应函应由供应商的法定代表人(单位负责人)或其授权的代理人签字并加盖单位章。联合体协议书(如有)应由联合体各方的法定代表人(单位负责人)或其授权的代理人签字并加盖单位章。</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响应函或联合体协议书(如有)由代理人签字的，应在响应文件中附授权委托书，授权委托书应由供应商或联合体各方的法定代表人(单位负责人)签字并加盖单位章。</w:t>
      </w:r>
    </w:p>
    <w:p>
      <w:pPr>
        <w:adjustRightInd w:val="0"/>
        <w:snapToGrid w:val="0"/>
        <w:spacing w:line="360" w:lineRule="auto"/>
        <w:jc w:val="both"/>
        <w:rPr>
          <w:rFonts w:ascii="宋体" w:hAnsi="宋体" w:cs="仿宋"/>
          <w:sz w:val="24"/>
        </w:rPr>
      </w:pPr>
      <w:r>
        <w:rPr>
          <w:rFonts w:hint="eastAsia" w:ascii="宋体" w:hAnsi="宋体" w:cs="仿宋"/>
          <w:sz w:val="24"/>
        </w:rPr>
        <w:t>3.7.3评审过程中供应商对响应文件的澄清、说明和补正应由供应商的法定代表人(单位负责人)或其授权的代理人签字或加盖单位章。</w:t>
      </w:r>
    </w:p>
    <w:p>
      <w:pPr>
        <w:adjustRightInd w:val="0"/>
        <w:snapToGrid w:val="0"/>
        <w:spacing w:line="360" w:lineRule="auto"/>
        <w:jc w:val="both"/>
        <w:rPr>
          <w:rFonts w:ascii="宋体" w:hAnsi="宋体" w:cs="仿宋"/>
          <w:sz w:val="24"/>
        </w:rPr>
      </w:pPr>
      <w:r>
        <w:rPr>
          <w:rFonts w:hint="eastAsia" w:ascii="宋体" w:hAnsi="宋体" w:cs="仿宋"/>
          <w:sz w:val="24"/>
        </w:rPr>
        <w:t>3.7.4响应文件应尽量避免涂改、行间插字或删除。如果出现上述情况，改动之处应由供应商的法定代表人(单位负责人)或其授权的代理人签字或加盖单位章。</w:t>
      </w:r>
    </w:p>
    <w:p>
      <w:pPr>
        <w:adjustRightInd w:val="0"/>
        <w:snapToGrid w:val="0"/>
        <w:spacing w:line="360" w:lineRule="auto"/>
        <w:jc w:val="both"/>
        <w:rPr>
          <w:rFonts w:ascii="宋体" w:hAnsi="宋体" w:cs="仿宋"/>
          <w:sz w:val="24"/>
        </w:rPr>
      </w:pPr>
      <w:r>
        <w:rPr>
          <w:rFonts w:ascii="宋体" w:hAnsi="宋体" w:cs="仿宋"/>
          <w:sz w:val="24"/>
        </w:rPr>
        <w:t>3.7.5响应文件正本一份，副本份数见供应商须知前附表。正本和副本的封面右上角应清楚地标记“正本”或“副本”的字样。供应商应根据供应商须知前附表要求提供电子版文件。当副本和正本不致，或电子版文件和纸质正本文件不一致时，以纸质正本文件为准。</w:t>
      </w:r>
    </w:p>
    <w:p>
      <w:pPr>
        <w:adjustRightInd w:val="0"/>
        <w:snapToGrid w:val="0"/>
        <w:spacing w:line="360" w:lineRule="auto"/>
        <w:jc w:val="both"/>
        <w:rPr>
          <w:rFonts w:ascii="宋体" w:hAnsi="宋体" w:cs="仿宋"/>
          <w:sz w:val="24"/>
        </w:rPr>
      </w:pPr>
      <w:r>
        <w:rPr>
          <w:rFonts w:ascii="宋体" w:hAnsi="宋体" w:cs="仿宋"/>
          <w:sz w:val="24"/>
        </w:rPr>
        <w:t>3.7.6响应文件的正本与副本应分别装订，并编制目录。响应文件需分册装订的，具体分册装订要求见供应商须知前附表规定。</w:t>
      </w:r>
    </w:p>
    <w:p>
      <w:pPr>
        <w:adjustRightInd w:val="0"/>
        <w:snapToGrid w:val="0"/>
        <w:spacing w:line="360" w:lineRule="auto"/>
        <w:jc w:val="both"/>
        <w:rPr>
          <w:rFonts w:ascii="宋体" w:hAnsi="宋体" w:cs="仿宋"/>
          <w:b/>
          <w:bCs/>
          <w:sz w:val="24"/>
        </w:rPr>
      </w:pPr>
      <w:r>
        <w:rPr>
          <w:rFonts w:hint="eastAsia" w:ascii="宋体" w:hAnsi="宋体" w:cs="仿宋"/>
          <w:b/>
          <w:bCs/>
          <w:sz w:val="24"/>
        </w:rPr>
        <w:t>4响应文件的递交</w:t>
      </w:r>
    </w:p>
    <w:p>
      <w:pPr>
        <w:adjustRightInd w:val="0"/>
        <w:snapToGrid w:val="0"/>
        <w:spacing w:line="360" w:lineRule="auto"/>
        <w:jc w:val="both"/>
        <w:rPr>
          <w:rFonts w:ascii="宋体" w:hAnsi="宋体" w:cs="仿宋"/>
          <w:b/>
          <w:bCs/>
          <w:sz w:val="24"/>
        </w:rPr>
      </w:pPr>
      <w:r>
        <w:rPr>
          <w:rFonts w:ascii="宋体" w:hAnsi="宋体" w:cs="仿宋"/>
          <w:b/>
          <w:bCs/>
          <w:sz w:val="24"/>
        </w:rPr>
        <w:t>4.1响应文件的包装与标记</w:t>
      </w:r>
    </w:p>
    <w:p>
      <w:pPr>
        <w:adjustRightInd w:val="0"/>
        <w:snapToGrid w:val="0"/>
        <w:spacing w:line="360" w:lineRule="auto"/>
        <w:jc w:val="both"/>
        <w:rPr>
          <w:rFonts w:ascii="宋体" w:hAnsi="宋体" w:cs="仿宋"/>
          <w:sz w:val="24"/>
        </w:rPr>
      </w:pPr>
      <w:r>
        <w:rPr>
          <w:rFonts w:ascii="宋体" w:hAnsi="宋体" w:cs="仿宋"/>
          <w:sz w:val="24"/>
        </w:rPr>
        <w:t>4.1.1响应文件应安善包装。供应商须知前附表规定响应文件应密封的，响应文件应按要求密封。</w:t>
      </w:r>
    </w:p>
    <w:p>
      <w:pPr>
        <w:adjustRightInd w:val="0"/>
        <w:snapToGrid w:val="0"/>
        <w:spacing w:line="360" w:lineRule="auto"/>
        <w:jc w:val="both"/>
        <w:rPr>
          <w:rFonts w:ascii="宋体" w:hAnsi="宋体" w:cs="仿宋"/>
          <w:sz w:val="24"/>
        </w:rPr>
      </w:pPr>
      <w:r>
        <w:rPr>
          <w:rFonts w:ascii="宋体" w:hAnsi="宋体" w:cs="仿宋"/>
          <w:sz w:val="24"/>
        </w:rPr>
        <w:t>4.1.2响应文件封套上应载明的内容见供应商须知前附表。</w:t>
      </w:r>
    </w:p>
    <w:p>
      <w:pPr>
        <w:adjustRightInd w:val="0"/>
        <w:snapToGrid w:val="0"/>
        <w:spacing w:line="360" w:lineRule="auto"/>
        <w:jc w:val="both"/>
        <w:rPr>
          <w:rFonts w:ascii="宋体" w:hAnsi="宋体" w:cs="仿宋"/>
          <w:b/>
          <w:bCs/>
          <w:sz w:val="24"/>
        </w:rPr>
      </w:pPr>
      <w:r>
        <w:rPr>
          <w:rFonts w:hint="eastAsia" w:ascii="宋体" w:hAnsi="宋体" w:cs="仿宋"/>
          <w:b/>
          <w:bCs/>
          <w:sz w:val="24"/>
        </w:rPr>
        <w:t>4.2响应文件的递交</w:t>
      </w:r>
    </w:p>
    <w:p>
      <w:pPr>
        <w:adjustRightInd w:val="0"/>
        <w:snapToGrid w:val="0"/>
        <w:spacing w:line="360" w:lineRule="auto"/>
        <w:jc w:val="both"/>
        <w:rPr>
          <w:rFonts w:ascii="宋体" w:hAnsi="宋体" w:cs="仿宋"/>
          <w:sz w:val="24"/>
        </w:rPr>
      </w:pPr>
      <w:r>
        <w:rPr>
          <w:rFonts w:hint="eastAsia" w:ascii="宋体" w:hAnsi="宋体" w:cs="仿宋"/>
          <w:sz w:val="24"/>
        </w:rPr>
        <w:t>4.2.1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adjustRightInd w:val="0"/>
        <w:snapToGrid w:val="0"/>
        <w:spacing w:line="360" w:lineRule="auto"/>
        <w:jc w:val="both"/>
        <w:rPr>
          <w:rFonts w:ascii="宋体" w:hAnsi="宋体" w:cs="仿宋"/>
          <w:sz w:val="24"/>
        </w:rPr>
      </w:pPr>
      <w:r>
        <w:rPr>
          <w:rFonts w:hint="eastAsia" w:ascii="宋体" w:hAnsi="宋体" w:cs="仿宋"/>
          <w:sz w:val="24"/>
        </w:rPr>
        <w:t>4.2.2除供应商须知前附表另有规定外，供应商所提交的响应文件不于退还。</w:t>
      </w:r>
    </w:p>
    <w:p>
      <w:pPr>
        <w:adjustRightInd w:val="0"/>
        <w:snapToGrid w:val="0"/>
        <w:spacing w:line="360" w:lineRule="auto"/>
        <w:jc w:val="both"/>
        <w:rPr>
          <w:rFonts w:ascii="宋体" w:hAnsi="宋体" w:cs="仿宋"/>
          <w:b/>
          <w:bCs/>
          <w:sz w:val="24"/>
        </w:rPr>
      </w:pPr>
      <w:r>
        <w:rPr>
          <w:rFonts w:hint="eastAsia" w:ascii="宋体" w:hAnsi="宋体" w:cs="仿宋"/>
          <w:b/>
          <w:bCs/>
          <w:sz w:val="24"/>
        </w:rPr>
        <w:t>4.3响应文件的修改与撤回</w:t>
      </w:r>
    </w:p>
    <w:p>
      <w:pPr>
        <w:adjustRightInd w:val="0"/>
        <w:snapToGrid w:val="0"/>
        <w:spacing w:line="360" w:lineRule="auto"/>
        <w:jc w:val="both"/>
        <w:rPr>
          <w:rFonts w:ascii="宋体" w:hAnsi="宋体" w:cs="仿宋"/>
          <w:sz w:val="24"/>
        </w:rPr>
      </w:pPr>
      <w:r>
        <w:rPr>
          <w:rFonts w:hint="eastAsia" w:ascii="宋体" w:hAnsi="宋体" w:cs="仿宋"/>
          <w:sz w:val="24"/>
        </w:rPr>
        <w:t>4.3.1在本章第4.2.1项规定的递交响应文件的截止时间前，供应商可以修改或撤回已递交的响应文件。</w:t>
      </w:r>
    </w:p>
    <w:p>
      <w:pPr>
        <w:adjustRightInd w:val="0"/>
        <w:snapToGrid w:val="0"/>
        <w:spacing w:line="360" w:lineRule="auto"/>
        <w:jc w:val="both"/>
        <w:rPr>
          <w:rFonts w:ascii="宋体" w:hAnsi="宋体" w:cs="仿宋"/>
          <w:sz w:val="24"/>
        </w:rPr>
      </w:pPr>
      <w:r>
        <w:rPr>
          <w:rFonts w:hint="eastAsia" w:ascii="宋体" w:hAnsi="宋体" w:cs="仿宋"/>
          <w:sz w:val="24"/>
        </w:rPr>
        <w:t>4.3.2</w:t>
      </w:r>
      <w:r>
        <w:rPr>
          <w:rFonts w:ascii="宋体" w:hAnsi="宋体" w:cs="仿宋"/>
          <w:sz w:val="24"/>
        </w:rPr>
        <w:t>响应文件的修改文件或供应商</w:t>
      </w:r>
      <w:r>
        <w:rPr>
          <w:rFonts w:hint="eastAsia" w:ascii="宋体" w:hAnsi="宋体" w:cs="仿宋"/>
          <w:sz w:val="24"/>
        </w:rPr>
        <w:t>撤</w:t>
      </w:r>
      <w:r>
        <w:rPr>
          <w:rFonts w:ascii="宋体" w:hAnsi="宋体" w:cs="仿宋"/>
          <w:sz w:val="24"/>
        </w:rPr>
        <w:t>回已递交响应文件的书面通知应由供应商的法定代表人(单位负责人)或其授权的代理人签字并加盖单位章。采购人收到供应商修改响应文件的书面文件后，向供应商出具接收凭证;采购人收到供应商撤回响应文件的书面通知后，退回供应商的响应文件。</w:t>
      </w:r>
    </w:p>
    <w:p>
      <w:pPr>
        <w:adjustRightInd w:val="0"/>
        <w:snapToGrid w:val="0"/>
        <w:spacing w:line="360" w:lineRule="auto"/>
        <w:jc w:val="both"/>
        <w:rPr>
          <w:rFonts w:ascii="宋体" w:hAnsi="宋体" w:cs="仿宋"/>
          <w:sz w:val="24"/>
        </w:rPr>
      </w:pPr>
      <w:r>
        <w:rPr>
          <w:rFonts w:hint="eastAsia" w:ascii="宋体" w:hAnsi="宋体" w:cs="仿宋"/>
          <w:sz w:val="24"/>
        </w:rPr>
        <w:t>4.3.3除供应商须知前附表另有规定外，供应商撤回响应文件的，采购人应在5日内退还已收取的响应保证金。</w:t>
      </w:r>
    </w:p>
    <w:p>
      <w:pPr>
        <w:adjustRightInd w:val="0"/>
        <w:snapToGrid w:val="0"/>
        <w:spacing w:line="360" w:lineRule="auto"/>
        <w:jc w:val="both"/>
        <w:rPr>
          <w:rFonts w:ascii="宋体" w:hAnsi="宋体" w:cs="仿宋"/>
          <w:sz w:val="24"/>
        </w:rPr>
      </w:pPr>
      <w:r>
        <w:rPr>
          <w:rFonts w:hint="eastAsia" w:ascii="宋体" w:hAnsi="宋体" w:cs="仿宋"/>
          <w:sz w:val="24"/>
        </w:rPr>
        <w:t>4.3.4修改的内容为响应文件的组成部分。响应文件的修改文件应按照本章第3条、第4条的规定进行编制、包装、标记和递交，并注明“修改”字样。</w:t>
      </w:r>
    </w:p>
    <w:p>
      <w:pPr>
        <w:adjustRightInd w:val="0"/>
        <w:snapToGrid w:val="0"/>
        <w:spacing w:line="360" w:lineRule="auto"/>
        <w:jc w:val="both"/>
        <w:rPr>
          <w:rFonts w:ascii="宋体" w:hAnsi="宋体" w:cs="仿宋"/>
          <w:b/>
          <w:bCs/>
          <w:sz w:val="24"/>
        </w:rPr>
      </w:pPr>
      <w:r>
        <w:rPr>
          <w:rFonts w:hint="eastAsia" w:ascii="宋体" w:hAnsi="宋体" w:cs="仿宋"/>
          <w:b/>
          <w:bCs/>
          <w:sz w:val="24"/>
        </w:rPr>
        <w:t>5开启响应文件</w:t>
      </w:r>
    </w:p>
    <w:p>
      <w:pPr>
        <w:adjustRightInd w:val="0"/>
        <w:snapToGrid w:val="0"/>
        <w:spacing w:line="360" w:lineRule="auto"/>
        <w:ind w:firstLine="455" w:firstLineChars="189"/>
        <w:jc w:val="both"/>
        <w:rPr>
          <w:rFonts w:ascii="宋体" w:hAnsi="宋体" w:cs="仿宋"/>
          <w:sz w:val="24"/>
        </w:rPr>
      </w:pPr>
      <w:r>
        <w:rPr>
          <w:rFonts w:hint="eastAsia" w:ascii="宋体" w:hAnsi="宋体" w:cs="仿宋"/>
          <w:b/>
          <w:sz w:val="24"/>
        </w:rPr>
        <w:t>采购人一般不公开开启响应文件。</w:t>
      </w:r>
      <w:r>
        <w:rPr>
          <w:rFonts w:hint="eastAsia" w:ascii="宋体" w:hAnsi="宋体" w:cs="仿宋"/>
          <w:bCs/>
          <w:sz w:val="24"/>
        </w:rPr>
        <w:t>如供</w:t>
      </w:r>
      <w:r>
        <w:rPr>
          <w:rFonts w:hint="eastAsia" w:ascii="宋体" w:hAnsi="宋体" w:cs="仿宋"/>
          <w:sz w:val="24"/>
        </w:rPr>
        <w:t>应商须知前附表规定公开开启响应文件的，开启活动应按本条规定执行。</w:t>
      </w:r>
    </w:p>
    <w:p>
      <w:pPr>
        <w:adjustRightInd w:val="0"/>
        <w:snapToGrid w:val="0"/>
        <w:spacing w:line="360" w:lineRule="auto"/>
        <w:jc w:val="both"/>
        <w:rPr>
          <w:rFonts w:ascii="宋体" w:hAnsi="宋体" w:cs="仿宋"/>
          <w:b/>
          <w:bCs/>
          <w:sz w:val="24"/>
        </w:rPr>
      </w:pPr>
      <w:r>
        <w:rPr>
          <w:rFonts w:hint="eastAsia" w:ascii="宋体" w:hAnsi="宋体" w:cs="仿宋"/>
          <w:b/>
          <w:bCs/>
          <w:sz w:val="24"/>
        </w:rPr>
        <w:t>5.1开启响应文件的时间和地点</w:t>
      </w:r>
    </w:p>
    <w:p>
      <w:pPr>
        <w:adjustRightInd w:val="0"/>
        <w:snapToGrid w:val="0"/>
        <w:spacing w:line="360" w:lineRule="auto"/>
        <w:ind w:firstLine="453" w:firstLineChars="189"/>
        <w:jc w:val="both"/>
        <w:rPr>
          <w:rFonts w:ascii="宋体" w:hAnsi="宋体" w:cs="仿宋"/>
          <w:color w:val="FF0000"/>
          <w:sz w:val="24"/>
        </w:rPr>
      </w:pPr>
      <w:r>
        <w:rPr>
          <w:rFonts w:hint="eastAsia" w:ascii="宋体" w:hAnsi="宋体" w:cs="仿宋"/>
          <w:sz w:val="24"/>
        </w:rPr>
        <w:t>采购人在本章第</w:t>
      </w:r>
      <w:r>
        <w:rPr>
          <w:rFonts w:ascii="宋体" w:hAnsi="宋体" w:cs="仿宋"/>
          <w:sz w:val="24"/>
        </w:rPr>
        <w:t>4.2.1项规定的递交响应文件的截止时间和地点公开开启响应文件，并邀请所有供应商的法定代表人(单位负责人)或其授权的代理人参加开启会议，供应商未派代表参加的，视为默认开启结果</w:t>
      </w:r>
      <w:r>
        <w:rPr>
          <w:rFonts w:hint="eastAsia" w:ascii="宋体" w:hAnsi="宋体" w:cs="仿宋"/>
          <w:sz w:val="24"/>
        </w:rPr>
        <w:t>。</w:t>
      </w:r>
    </w:p>
    <w:p>
      <w:pPr>
        <w:adjustRightInd w:val="0"/>
        <w:snapToGrid w:val="0"/>
        <w:spacing w:line="360" w:lineRule="auto"/>
        <w:jc w:val="both"/>
        <w:rPr>
          <w:rFonts w:ascii="宋体" w:hAnsi="宋体" w:cs="仿宋"/>
          <w:b/>
          <w:bCs/>
          <w:sz w:val="24"/>
        </w:rPr>
      </w:pPr>
      <w:r>
        <w:rPr>
          <w:rFonts w:hint="eastAsia" w:ascii="宋体" w:hAnsi="宋体" w:cs="仿宋"/>
          <w:b/>
          <w:bCs/>
          <w:sz w:val="24"/>
        </w:rPr>
        <w:t>5.2开启程序</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主持人按下列程序公开开启响应文件:</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(1)按照供应商须知前附表规定的开启顺序开启响应文件，公布递交响应文件的供应商名称、响应报价及供应商须知前附表规定的其他应公布的信息，并记录在案;</w:t>
      </w:r>
    </w:p>
    <w:p>
      <w:pPr>
        <w:spacing w:line="360" w:lineRule="auto"/>
        <w:ind w:firstLine="453" w:firstLineChars="189"/>
        <w:jc w:val="both"/>
      </w:pPr>
      <w:r>
        <w:rPr>
          <w:rFonts w:hint="eastAsia" w:ascii="宋体" w:hAnsi="宋体" w:cs="仿宋"/>
          <w:sz w:val="24"/>
        </w:rPr>
        <w:t>(2)开启会议结束。</w:t>
      </w:r>
    </w:p>
    <w:p>
      <w:pPr>
        <w:adjustRightInd w:val="0"/>
        <w:snapToGrid w:val="0"/>
        <w:spacing w:line="360" w:lineRule="auto"/>
        <w:jc w:val="both"/>
        <w:rPr>
          <w:rFonts w:ascii="宋体" w:hAnsi="宋体" w:cs="仿宋"/>
          <w:sz w:val="24"/>
        </w:rPr>
      </w:pPr>
      <w:r>
        <w:rPr>
          <w:rFonts w:hint="eastAsia" w:ascii="宋体" w:hAnsi="宋体" w:cs="仿宋"/>
          <w:b/>
          <w:bCs/>
          <w:sz w:val="24"/>
        </w:rPr>
        <w:t>5.3递交响应文件的供应商不足的情形</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递交响应文件的供应商数量不足三家时，应终止采购并重新组织采购。重新采购递交响应文件的供应商不少于两家时，可开启响应文件并组织评审；重新采购递交响应文件的供应商只有一家时，经审批同意后可以采取单一来源采购方式。</w:t>
      </w:r>
    </w:p>
    <w:p>
      <w:pPr>
        <w:adjustRightInd w:val="0"/>
        <w:snapToGrid w:val="0"/>
        <w:spacing w:line="360" w:lineRule="auto"/>
        <w:jc w:val="both"/>
        <w:rPr>
          <w:rFonts w:ascii="宋体" w:hAnsi="宋体" w:cs="仿宋"/>
          <w:b/>
          <w:bCs/>
          <w:sz w:val="24"/>
        </w:rPr>
      </w:pPr>
      <w:r>
        <w:rPr>
          <w:rFonts w:hint="eastAsia" w:ascii="宋体" w:hAnsi="宋体" w:cs="仿宋"/>
          <w:b/>
          <w:bCs/>
          <w:sz w:val="24"/>
        </w:rPr>
        <w:t>6评审</w:t>
      </w:r>
    </w:p>
    <w:p>
      <w:pPr>
        <w:adjustRightInd w:val="0"/>
        <w:snapToGrid w:val="0"/>
        <w:spacing w:line="360" w:lineRule="auto"/>
        <w:jc w:val="both"/>
        <w:rPr>
          <w:rFonts w:ascii="宋体" w:hAnsi="宋体" w:cs="仿宋"/>
          <w:b/>
          <w:bCs/>
          <w:sz w:val="24"/>
        </w:rPr>
      </w:pPr>
      <w:r>
        <w:rPr>
          <w:rFonts w:hint="eastAsia" w:ascii="宋体" w:hAnsi="宋体" w:cs="仿宋"/>
          <w:b/>
          <w:bCs/>
          <w:sz w:val="24"/>
        </w:rPr>
        <w:t>6.1评审小组</w:t>
      </w:r>
    </w:p>
    <w:p>
      <w:pPr>
        <w:adjustRightInd w:val="0"/>
        <w:snapToGrid w:val="0"/>
        <w:spacing w:line="360" w:lineRule="auto"/>
        <w:jc w:val="both"/>
        <w:rPr>
          <w:rFonts w:ascii="宋体" w:hAnsi="宋体" w:cs="仿宋"/>
          <w:sz w:val="24"/>
        </w:rPr>
      </w:pPr>
      <w:r>
        <w:rPr>
          <w:rFonts w:hint="eastAsia" w:ascii="宋体" w:hAnsi="宋体" w:cs="仿宋"/>
          <w:sz w:val="24"/>
        </w:rPr>
        <w:t>6.1.1评审由采购人组建的评审小组负责。</w:t>
      </w:r>
    </w:p>
    <w:p>
      <w:pPr>
        <w:adjustRightInd w:val="0"/>
        <w:snapToGrid w:val="0"/>
        <w:spacing w:line="360" w:lineRule="auto"/>
        <w:jc w:val="both"/>
        <w:rPr>
          <w:rFonts w:ascii="宋体" w:hAnsi="宋体" w:cs="仿宋"/>
          <w:sz w:val="24"/>
        </w:rPr>
      </w:pPr>
      <w:r>
        <w:rPr>
          <w:rFonts w:hint="eastAsia" w:ascii="宋体" w:hAnsi="宋体" w:cs="仿宋"/>
          <w:sz w:val="24"/>
        </w:rPr>
        <w:t>6.1.2评审小组成员有下列情形之的，应当回避:</w:t>
      </w:r>
    </w:p>
    <w:p>
      <w:pPr>
        <w:adjustRightInd w:val="0"/>
        <w:snapToGrid w:val="0"/>
        <w:spacing w:line="360" w:lineRule="auto"/>
        <w:ind w:left="716" w:leftChars="284" w:hanging="120" w:hangingChars="50"/>
        <w:jc w:val="both"/>
        <w:rPr>
          <w:rFonts w:ascii="宋体" w:hAnsi="宋体" w:cs="仿宋"/>
          <w:sz w:val="24"/>
        </w:rPr>
      </w:pPr>
      <w:r>
        <w:rPr>
          <w:rFonts w:hint="eastAsia" w:ascii="宋体" w:hAnsi="宋体" w:cs="仿宋"/>
          <w:sz w:val="24"/>
        </w:rPr>
        <w:t>（1）供应商主要负责人或供应商主要负责人的近亲属;</w:t>
      </w:r>
      <w:r>
        <w:rPr>
          <w:rFonts w:hint="eastAsia" w:ascii="宋体" w:hAnsi="宋体" w:cs="仿宋"/>
          <w:sz w:val="24"/>
        </w:rPr>
        <w:br w:type="textWrapping"/>
      </w:r>
      <w:r>
        <w:rPr>
          <w:rFonts w:hint="eastAsia" w:ascii="宋体" w:hAnsi="宋体" w:cs="仿宋"/>
          <w:sz w:val="24"/>
        </w:rPr>
        <w:t>(2)与供应商有经济利益关系或其他利害关系，可能影响公正评审的。</w:t>
      </w:r>
    </w:p>
    <w:p>
      <w:pPr>
        <w:adjustRightInd w:val="0"/>
        <w:snapToGrid w:val="0"/>
        <w:spacing w:line="360" w:lineRule="auto"/>
        <w:jc w:val="both"/>
        <w:rPr>
          <w:rFonts w:ascii="宋体" w:hAnsi="宋体" w:cs="仿宋"/>
          <w:sz w:val="24"/>
        </w:rPr>
      </w:pPr>
      <w:r>
        <w:rPr>
          <w:rFonts w:hint="eastAsia" w:ascii="宋体" w:hAnsi="宋体" w:cs="仿宋"/>
          <w:sz w:val="24"/>
        </w:rPr>
        <w:t>6.1.3评审小组组建后，评审小组成员共同推选或或由采购人指定评审小组组长，评审小组组长负责组织评审工作。</w:t>
      </w:r>
    </w:p>
    <w:p>
      <w:pPr>
        <w:adjustRightInd w:val="0"/>
        <w:snapToGrid w:val="0"/>
        <w:spacing w:line="360" w:lineRule="auto"/>
        <w:jc w:val="both"/>
        <w:rPr>
          <w:rFonts w:ascii="宋体" w:hAnsi="宋体" w:cs="仿宋"/>
          <w:sz w:val="24"/>
        </w:rPr>
      </w:pPr>
      <w:r>
        <w:rPr>
          <w:rFonts w:hint="eastAsia" w:ascii="宋体" w:hAnsi="宋体" w:cs="仿宋"/>
          <w:sz w:val="24"/>
        </w:rPr>
        <w:t>6.1.4在评审过程中，评审小组成员对需要共同认定的事项存在争议的，将按照少数服从多数的原则作出结论。持不同意见的评审小组成员应当在评审报告上签署不同意见及理由，否则视为同意评审报告。</w:t>
      </w:r>
    </w:p>
    <w:p>
      <w:pPr>
        <w:adjustRightInd w:val="0"/>
        <w:snapToGrid w:val="0"/>
        <w:spacing w:line="360" w:lineRule="auto"/>
        <w:jc w:val="both"/>
        <w:rPr>
          <w:rFonts w:ascii="宋体" w:hAnsi="宋体" w:cs="仿宋"/>
          <w:b/>
          <w:bCs/>
          <w:sz w:val="24"/>
        </w:rPr>
      </w:pPr>
      <w:r>
        <w:rPr>
          <w:rFonts w:hint="eastAsia" w:ascii="宋体" w:hAnsi="宋体" w:cs="仿宋"/>
          <w:b/>
          <w:bCs/>
          <w:sz w:val="24"/>
        </w:rPr>
        <w:t>6.2评审</w:t>
      </w:r>
    </w:p>
    <w:p>
      <w:pPr>
        <w:adjustRightInd w:val="0"/>
        <w:snapToGrid w:val="0"/>
        <w:spacing w:line="360" w:lineRule="auto"/>
        <w:jc w:val="both"/>
        <w:rPr>
          <w:rFonts w:ascii="宋体" w:hAnsi="宋体" w:cs="仿宋"/>
          <w:sz w:val="24"/>
        </w:rPr>
      </w:pPr>
      <w:r>
        <w:rPr>
          <w:rFonts w:hint="eastAsia" w:ascii="宋体" w:hAnsi="宋体" w:cs="仿宋"/>
          <w:sz w:val="24"/>
        </w:rPr>
        <w:t>6.2.1评审小组按照第三章“评审办法”规定的评审标准和程序对响应文件进行评审和比较。</w:t>
      </w:r>
    </w:p>
    <w:p>
      <w:pPr>
        <w:adjustRightInd w:val="0"/>
        <w:snapToGrid w:val="0"/>
        <w:spacing w:line="360" w:lineRule="auto"/>
        <w:jc w:val="both"/>
        <w:rPr>
          <w:rFonts w:ascii="宋体" w:hAnsi="宋体" w:cs="仿宋"/>
          <w:sz w:val="24"/>
        </w:rPr>
      </w:pPr>
      <w:r>
        <w:rPr>
          <w:rFonts w:hint="eastAsia" w:ascii="宋体" w:hAnsi="宋体" w:cs="仿宋"/>
          <w:sz w:val="24"/>
        </w:rPr>
        <w:t>6.2.2评审完成后，评审小组应当向采购人提交书面评审报告和成交候选供应商名单。评审小组推荐成交候选供应商的排序要求及数量见供应商须知前附表。</w:t>
      </w:r>
    </w:p>
    <w:p>
      <w:pPr>
        <w:adjustRightInd w:val="0"/>
        <w:snapToGrid w:val="0"/>
        <w:spacing w:line="360" w:lineRule="auto"/>
        <w:jc w:val="both"/>
        <w:rPr>
          <w:rFonts w:ascii="宋体" w:hAnsi="宋体" w:cs="仿宋"/>
          <w:b/>
          <w:bCs/>
          <w:sz w:val="24"/>
        </w:rPr>
      </w:pPr>
      <w:r>
        <w:rPr>
          <w:rFonts w:hint="eastAsia" w:ascii="宋体" w:hAnsi="宋体" w:cs="仿宋"/>
          <w:b/>
          <w:bCs/>
          <w:sz w:val="24"/>
        </w:rPr>
        <w:t>7合同授予</w:t>
      </w:r>
    </w:p>
    <w:p>
      <w:pPr>
        <w:adjustRightInd w:val="0"/>
        <w:snapToGrid w:val="0"/>
        <w:spacing w:line="360" w:lineRule="auto"/>
        <w:jc w:val="both"/>
        <w:rPr>
          <w:rFonts w:ascii="宋体" w:hAnsi="宋体" w:cs="仿宋"/>
          <w:b/>
          <w:bCs/>
          <w:sz w:val="24"/>
        </w:rPr>
      </w:pPr>
      <w:r>
        <w:rPr>
          <w:rFonts w:hint="eastAsia" w:ascii="宋体" w:hAnsi="宋体" w:cs="仿宋"/>
          <w:b/>
          <w:bCs/>
          <w:sz w:val="24"/>
        </w:rPr>
        <w:t>7.1成交候选供应商报价核查</w:t>
      </w:r>
    </w:p>
    <w:p>
      <w:pPr>
        <w:widowControl w:val="0"/>
        <w:adjustRightInd w:val="0"/>
        <w:snapToGrid w:val="0"/>
        <w:spacing w:line="360" w:lineRule="auto"/>
        <w:ind w:firstLine="475" w:firstLineChars="198"/>
        <w:jc w:val="both"/>
        <w:rPr>
          <w:rFonts w:ascii="宋体" w:hAnsi="宋体" w:cs="仿宋"/>
          <w:sz w:val="24"/>
        </w:rPr>
      </w:pPr>
      <w:r>
        <w:rPr>
          <w:rFonts w:hint="eastAsia" w:ascii="宋体" w:hAnsi="宋体" w:cs="仿宋"/>
          <w:sz w:val="24"/>
        </w:rPr>
        <w:t>项目评审后，如果采购人认为推荐的成交候选供应商报价明显偏离市场价格时，采购人可以对该报价进行验证，验证后，对明显偏离市场价格的报价不予接受。</w:t>
      </w:r>
    </w:p>
    <w:p>
      <w:pPr>
        <w:widowControl w:val="0"/>
        <w:adjustRightInd w:val="0"/>
        <w:snapToGrid w:val="0"/>
        <w:spacing w:line="360" w:lineRule="auto"/>
        <w:jc w:val="both"/>
        <w:rPr>
          <w:rFonts w:ascii="宋体" w:hAnsi="宋体" w:cs="宋体"/>
          <w:b/>
          <w:bCs/>
          <w:sz w:val="24"/>
        </w:rPr>
      </w:pPr>
      <w:r>
        <w:rPr>
          <w:rFonts w:hint="eastAsia" w:ascii="宋体" w:hAnsi="宋体" w:cs="仿宋"/>
          <w:b/>
          <w:bCs/>
          <w:sz w:val="24"/>
        </w:rPr>
        <w:t>7.2</w:t>
      </w:r>
      <w:r>
        <w:rPr>
          <w:rFonts w:hint="eastAsia" w:ascii="宋体" w:hAnsi="宋体" w:cs="宋体"/>
          <w:b/>
          <w:bCs/>
          <w:sz w:val="24"/>
        </w:rPr>
        <w:t>成交候选</w:t>
      </w:r>
      <w:r>
        <w:rPr>
          <w:rFonts w:hint="eastAsia" w:ascii="宋体" w:hAnsi="宋体" w:cs="仿宋"/>
          <w:b/>
          <w:bCs/>
          <w:sz w:val="24"/>
        </w:rPr>
        <w:t>供应商</w:t>
      </w:r>
      <w:r>
        <w:rPr>
          <w:rFonts w:hint="eastAsia" w:ascii="宋体" w:hAnsi="宋体" w:cs="宋体"/>
          <w:b/>
          <w:bCs/>
          <w:sz w:val="24"/>
        </w:rPr>
        <w:t>公示</w:t>
      </w:r>
    </w:p>
    <w:p>
      <w:pPr>
        <w:widowControl w:val="0"/>
        <w:adjustRightInd w:val="0"/>
        <w:snapToGrid w:val="0"/>
        <w:spacing w:line="312" w:lineRule="auto"/>
        <w:ind w:firstLine="480" w:firstLineChars="200"/>
        <w:jc w:val="both"/>
      </w:pPr>
      <w:r>
        <w:rPr>
          <w:rFonts w:hint="eastAsia" w:ascii="宋体" w:hAnsi="宋体" w:cs="宋体"/>
          <w:sz w:val="24"/>
        </w:rPr>
        <w:t>采购人按照供应商须知前附表规定的公示媒介和期限公示成交候选供应商。</w:t>
      </w:r>
    </w:p>
    <w:p>
      <w:pPr>
        <w:widowControl w:val="0"/>
        <w:adjustRightInd w:val="0"/>
        <w:snapToGrid w:val="0"/>
        <w:spacing w:line="360" w:lineRule="auto"/>
        <w:jc w:val="both"/>
        <w:rPr>
          <w:rFonts w:ascii="宋体" w:hAnsi="宋体" w:cs="宋体"/>
          <w:b/>
          <w:bCs/>
          <w:sz w:val="24"/>
        </w:rPr>
      </w:pPr>
      <w:r>
        <w:rPr>
          <w:rFonts w:hint="eastAsia" w:ascii="宋体" w:hAnsi="宋体" w:cs="宋体"/>
          <w:b/>
          <w:bCs/>
          <w:sz w:val="24"/>
        </w:rPr>
        <w:t xml:space="preserve">7.3成交结果异议 </w:t>
      </w:r>
    </w:p>
    <w:p>
      <w:pPr>
        <w:adjustRightInd w:val="0"/>
        <w:snapToGrid w:val="0"/>
        <w:spacing w:line="360" w:lineRule="auto"/>
        <w:ind w:firstLine="424" w:firstLineChars="177"/>
        <w:jc w:val="both"/>
        <w:rPr>
          <w:rFonts w:ascii="宋体" w:hAnsi="宋体" w:cs="宋体"/>
          <w:sz w:val="24"/>
        </w:rPr>
      </w:pPr>
      <w:r>
        <w:rPr>
          <w:rFonts w:hint="eastAsia" w:ascii="宋体" w:hAnsi="宋体" w:cs="宋体"/>
          <w:sz w:val="24"/>
        </w:rPr>
        <w:t>供应商或者其他利害关系人对采购结果有异议的，应当在成交候选供应商公示期间提出。</w:t>
      </w:r>
    </w:p>
    <w:p>
      <w:pPr>
        <w:adjustRightInd w:val="0"/>
        <w:snapToGrid w:val="0"/>
        <w:spacing w:line="360" w:lineRule="auto"/>
        <w:jc w:val="both"/>
        <w:rPr>
          <w:rFonts w:ascii="宋体" w:hAnsi="宋体" w:cs="仿宋"/>
          <w:b/>
          <w:bCs/>
          <w:sz w:val="24"/>
        </w:rPr>
      </w:pPr>
      <w:r>
        <w:rPr>
          <w:rFonts w:hint="eastAsia" w:ascii="宋体" w:hAnsi="宋体" w:cs="仿宋"/>
          <w:b/>
          <w:bCs/>
          <w:sz w:val="24"/>
        </w:rPr>
        <w:t>7.4成交候选供应商履约能力核查</w:t>
      </w:r>
    </w:p>
    <w:p>
      <w:pPr>
        <w:spacing w:line="360" w:lineRule="auto"/>
        <w:ind w:firstLine="453" w:firstLineChars="189"/>
        <w:jc w:val="both"/>
        <w:rPr>
          <w:rFonts w:ascii="宋体" w:hAnsi="宋体" w:cs="仿宋"/>
          <w:sz w:val="24"/>
        </w:rPr>
      </w:pPr>
      <w:r>
        <w:rPr>
          <w:rFonts w:hint="eastAsia" w:ascii="宋体" w:hAnsi="宋体" w:cs="仿宋"/>
          <w:sz w:val="24"/>
        </w:rPr>
        <w:t>采购人可对成交候选供应商的相关证明材料原件进行核验或组织现场考察，以确认成交候选供应商的生产经营、财务等实际状况与响应文件是否一致及是否存在其他可能影响供应商履约能力的情况。核查结果将作为采购人选择确定成交供应商的依据之一。</w:t>
      </w:r>
    </w:p>
    <w:p>
      <w:pPr>
        <w:adjustRightInd w:val="0"/>
        <w:snapToGrid w:val="0"/>
        <w:spacing w:line="360" w:lineRule="auto"/>
        <w:jc w:val="both"/>
        <w:rPr>
          <w:rFonts w:ascii="宋体" w:hAnsi="宋体" w:cs="仿宋"/>
          <w:b/>
          <w:bCs/>
          <w:sz w:val="24"/>
        </w:rPr>
      </w:pPr>
      <w:r>
        <w:rPr>
          <w:rFonts w:hint="eastAsia" w:ascii="宋体" w:hAnsi="宋体" w:cs="仿宋"/>
          <w:b/>
          <w:bCs/>
          <w:sz w:val="24"/>
        </w:rPr>
        <w:t>7.5发出成交通知书</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公示期结束后，在本章第3.3款规定的响应文件有效期内，采购人以书面形式向成交供应商发出成交通知书，并将成交结果书面通知所有提交响应文件的供应商。</w:t>
      </w:r>
    </w:p>
    <w:p>
      <w:pPr>
        <w:adjustRightInd w:val="0"/>
        <w:snapToGrid w:val="0"/>
        <w:spacing w:line="360" w:lineRule="auto"/>
        <w:jc w:val="both"/>
        <w:rPr>
          <w:rFonts w:ascii="宋体" w:hAnsi="宋体" w:cs="仿宋"/>
          <w:b/>
          <w:bCs/>
          <w:sz w:val="24"/>
        </w:rPr>
      </w:pPr>
      <w:r>
        <w:rPr>
          <w:rFonts w:hint="eastAsia" w:ascii="宋体" w:hAnsi="宋体" w:cs="仿宋"/>
          <w:b/>
          <w:bCs/>
          <w:sz w:val="24"/>
        </w:rPr>
        <w:t>7.6履约保证金（本项目不要求递交履约保证金）</w:t>
      </w:r>
    </w:p>
    <w:p>
      <w:pPr>
        <w:adjustRightInd w:val="0"/>
        <w:snapToGrid w:val="0"/>
        <w:spacing w:line="360" w:lineRule="auto"/>
        <w:jc w:val="both"/>
        <w:rPr>
          <w:rFonts w:ascii="宋体" w:hAnsi="宋体" w:cs="仿宋"/>
          <w:b/>
          <w:bCs/>
          <w:sz w:val="24"/>
        </w:rPr>
      </w:pPr>
      <w:r>
        <w:rPr>
          <w:rFonts w:hint="eastAsia" w:ascii="宋体" w:hAnsi="宋体" w:cs="仿宋"/>
          <w:b/>
          <w:bCs/>
          <w:sz w:val="24"/>
        </w:rPr>
        <w:t>7.7签订合同</w:t>
      </w:r>
    </w:p>
    <w:p>
      <w:pPr>
        <w:adjustRightInd w:val="0"/>
        <w:snapToGrid w:val="0"/>
        <w:spacing w:line="360" w:lineRule="auto"/>
        <w:jc w:val="both"/>
        <w:rPr>
          <w:rFonts w:ascii="宋体" w:hAnsi="宋体" w:cs="仿宋"/>
          <w:sz w:val="24"/>
        </w:rPr>
      </w:pPr>
      <w:r>
        <w:rPr>
          <w:rFonts w:hint="eastAsia" w:ascii="宋体" w:hAnsi="宋体" w:cs="仿宋"/>
          <w:sz w:val="24"/>
        </w:rPr>
        <w:t>7.7.1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pPr>
        <w:adjustRightInd w:val="0"/>
        <w:snapToGrid w:val="0"/>
        <w:spacing w:line="360" w:lineRule="auto"/>
        <w:jc w:val="both"/>
        <w:rPr>
          <w:rFonts w:ascii="宋体" w:hAnsi="宋体" w:cs="仿宋"/>
          <w:sz w:val="24"/>
        </w:rPr>
      </w:pPr>
      <w:r>
        <w:rPr>
          <w:rFonts w:hint="eastAsia" w:ascii="宋体" w:hAnsi="宋体" w:cs="仿宋"/>
          <w:sz w:val="24"/>
        </w:rPr>
        <w:t>7.7.2发出成交通知书后，采购人无正当理由拒绝签订合同，或者在签订合同时向成交供应商提出附加条件的，采购人向成交供应商退还响应保证金；给成交供应商造成损失的，还应当赔偿损失。</w:t>
      </w:r>
    </w:p>
    <w:p>
      <w:pPr>
        <w:adjustRightInd w:val="0"/>
        <w:snapToGrid w:val="0"/>
        <w:spacing w:line="360" w:lineRule="auto"/>
        <w:jc w:val="both"/>
        <w:rPr>
          <w:rFonts w:ascii="宋体" w:hAnsi="宋体" w:cs="仿宋"/>
          <w:sz w:val="24"/>
        </w:rPr>
      </w:pPr>
      <w:r>
        <w:rPr>
          <w:rFonts w:hint="eastAsia" w:ascii="宋体" w:hAnsi="宋体" w:cs="仿宋"/>
          <w:sz w:val="24"/>
        </w:rPr>
        <w:t>7.7.3联合体成交的，联合体各方应当共同与采购人签订合同，就成交项目向采购人承担连带责任。</w:t>
      </w:r>
    </w:p>
    <w:p>
      <w:pPr>
        <w:adjustRightInd w:val="0"/>
        <w:snapToGrid w:val="0"/>
        <w:spacing w:line="360" w:lineRule="auto"/>
        <w:jc w:val="both"/>
        <w:rPr>
          <w:rFonts w:ascii="宋体" w:hAnsi="宋体" w:cs="仿宋"/>
          <w:sz w:val="24"/>
        </w:rPr>
      </w:pPr>
      <w:r>
        <w:rPr>
          <w:rFonts w:hint="eastAsia" w:ascii="宋体" w:hAnsi="宋体" w:cs="仿宋"/>
          <w:sz w:val="24"/>
        </w:rPr>
        <w:t>7.7.4除供应商须知前附表另有规定外，按照第三章“评审办法”第2.2.3项规定对响应报价进行修正后，若修正后的响应报价小于按照第三章“评审办法”第2.2.2项规定确定的评审价格，则签订合同时以修正后的响应报价为准;若修正后的响应报价大于评审价格，则签订合同时以评审价格为准。同时按比例修正相应子目的单价或合价(采购文件不允许调整的费率和金额除外)。</w:t>
      </w:r>
    </w:p>
    <w:p>
      <w:pPr>
        <w:adjustRightInd w:val="0"/>
        <w:snapToGrid w:val="0"/>
        <w:spacing w:line="360" w:lineRule="auto"/>
        <w:jc w:val="both"/>
        <w:rPr>
          <w:rFonts w:ascii="宋体" w:hAnsi="宋体" w:cs="仿宋"/>
          <w:b/>
          <w:bCs/>
          <w:sz w:val="24"/>
        </w:rPr>
      </w:pPr>
      <w:r>
        <w:rPr>
          <w:rFonts w:hint="eastAsia" w:ascii="宋体" w:hAnsi="宋体" w:cs="仿宋"/>
          <w:b/>
          <w:bCs/>
          <w:sz w:val="24"/>
        </w:rPr>
        <w:t>7.</w:t>
      </w:r>
      <w:r>
        <w:rPr>
          <w:rFonts w:ascii="宋体" w:hAnsi="宋体" w:cs="仿宋"/>
          <w:b/>
          <w:bCs/>
          <w:sz w:val="24"/>
        </w:rPr>
        <w:t>8</w:t>
      </w:r>
      <w:r>
        <w:rPr>
          <w:rFonts w:hint="eastAsia" w:ascii="宋体" w:hAnsi="宋体" w:cs="仿宋"/>
          <w:b/>
          <w:bCs/>
          <w:sz w:val="24"/>
        </w:rPr>
        <w:t>特殊情形处理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因供应商对成交结果提出异议、成交供应商无正当理由拒绝签订合同、成交供应商在签订合同时向采购人提出附加条件或者不按照采购文件要求递交履约保证金等导致采购人变更成交结果的，采购人应按照本条规定的程序重新选择成交供应商、进行公示并公告。</w:t>
      </w:r>
    </w:p>
    <w:p>
      <w:pPr>
        <w:adjustRightInd w:val="0"/>
        <w:snapToGrid w:val="0"/>
        <w:spacing w:line="360" w:lineRule="auto"/>
        <w:jc w:val="both"/>
        <w:rPr>
          <w:rFonts w:ascii="宋体" w:hAnsi="宋体" w:cs="仿宋"/>
          <w:b/>
          <w:bCs/>
          <w:sz w:val="24"/>
        </w:rPr>
      </w:pPr>
      <w:r>
        <w:rPr>
          <w:rFonts w:hint="eastAsia" w:ascii="宋体" w:hAnsi="宋体" w:cs="仿宋"/>
          <w:b/>
          <w:bCs/>
          <w:sz w:val="24"/>
        </w:rPr>
        <w:t>8异议</w:t>
      </w:r>
    </w:p>
    <w:p>
      <w:pPr>
        <w:adjustRightInd w:val="0"/>
        <w:snapToGrid w:val="0"/>
        <w:spacing w:line="360" w:lineRule="auto"/>
        <w:jc w:val="both"/>
        <w:rPr>
          <w:rFonts w:ascii="宋体" w:hAnsi="宋体" w:cs="仿宋"/>
          <w:b/>
          <w:bCs/>
          <w:sz w:val="24"/>
        </w:rPr>
      </w:pPr>
      <w:r>
        <w:rPr>
          <w:rFonts w:hint="eastAsia" w:ascii="宋体" w:hAnsi="宋体" w:cs="仿宋"/>
          <w:b/>
          <w:bCs/>
          <w:sz w:val="24"/>
        </w:rPr>
        <w:t>8.1提出异议</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供应商或者其他利害关系人可以对成交结果提出异议。异议应在成交结果公示期间通过供应商须知前附表规定的异议渠道提出，并递交异议函和必要的证明材料。异议函包括但不限于下列内容:</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(1)异议人名称、地址、邮政编码、联系人及联系电话;</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 xml:space="preserve"> (2)具体、明确的异议事项、事实依据及与异议事项相关的请求。</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异议函应由异议人的法定代表人(单位负责人)或其授权的代理人签字并加盖单位章。</w:t>
      </w:r>
    </w:p>
    <w:p>
      <w:pPr>
        <w:adjustRightInd w:val="0"/>
        <w:snapToGrid w:val="0"/>
        <w:spacing w:line="360" w:lineRule="auto"/>
        <w:jc w:val="both"/>
        <w:rPr>
          <w:rFonts w:ascii="宋体" w:hAnsi="宋体" w:cs="仿宋"/>
          <w:b/>
          <w:bCs/>
          <w:sz w:val="24"/>
        </w:rPr>
      </w:pPr>
      <w:r>
        <w:rPr>
          <w:rFonts w:hint="eastAsia" w:ascii="宋体" w:hAnsi="宋体" w:cs="仿宋"/>
          <w:b/>
          <w:bCs/>
          <w:sz w:val="24"/>
        </w:rPr>
        <w:t>8.2异议处理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采购人将针对异议事项进行核查，经过核查，发现异议人对相关问题理解有误的，应作出解释；发现采购活动中确实存在错误或不当行为的，应及时予以改正或补救。</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采购人认为异议不成立或不影响采购结果的，可以继续进行采购活动。</w:t>
      </w:r>
    </w:p>
    <w:p>
      <w:pPr>
        <w:adjustRightInd w:val="0"/>
        <w:snapToGrid w:val="0"/>
        <w:spacing w:line="360" w:lineRule="auto"/>
        <w:jc w:val="both"/>
        <w:rPr>
          <w:rFonts w:ascii="宋体" w:hAnsi="宋体" w:cs="仿宋"/>
          <w:b/>
          <w:bCs/>
          <w:sz w:val="24"/>
        </w:rPr>
      </w:pPr>
      <w:r>
        <w:rPr>
          <w:rFonts w:hint="eastAsia" w:ascii="宋体" w:hAnsi="宋体" w:cs="仿宋"/>
          <w:b/>
          <w:bCs/>
          <w:sz w:val="24"/>
        </w:rPr>
        <w:t>9纪律要求</w:t>
      </w:r>
    </w:p>
    <w:p>
      <w:pPr>
        <w:adjustRightInd w:val="0"/>
        <w:snapToGrid w:val="0"/>
        <w:spacing w:line="360" w:lineRule="auto"/>
        <w:jc w:val="both"/>
        <w:rPr>
          <w:rFonts w:ascii="宋体" w:hAnsi="宋体" w:cs="仿宋"/>
          <w:b/>
          <w:bCs/>
          <w:sz w:val="24"/>
        </w:rPr>
      </w:pPr>
      <w:r>
        <w:rPr>
          <w:rFonts w:hint="eastAsia" w:ascii="宋体" w:hAnsi="宋体" w:cs="仿宋"/>
          <w:b/>
          <w:bCs/>
          <w:sz w:val="24"/>
        </w:rPr>
        <w:t>9.1对采购人的纪律要求</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采购人不得泄露采购活动中应当保密的情况和资料，不得与供应商串通损害国家利益、社会公共利益或者他人合法权益。</w:t>
      </w:r>
    </w:p>
    <w:p>
      <w:pPr>
        <w:adjustRightInd w:val="0"/>
        <w:snapToGrid w:val="0"/>
        <w:spacing w:line="360" w:lineRule="auto"/>
        <w:jc w:val="both"/>
        <w:rPr>
          <w:rFonts w:ascii="宋体" w:hAnsi="宋体" w:cs="仿宋"/>
          <w:b/>
          <w:bCs/>
          <w:sz w:val="24"/>
        </w:rPr>
      </w:pPr>
      <w:r>
        <w:rPr>
          <w:rFonts w:hint="eastAsia" w:ascii="宋体" w:hAnsi="宋体" w:cs="仿宋"/>
          <w:b/>
          <w:bCs/>
          <w:sz w:val="24"/>
        </w:rPr>
        <w:t>9.2对供应商的纪律要求</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供应商不得相互串通或者与采购人串通，不得向采购人或者评审小组成员行贿谋取成交，不得以他人名义参加采购活动或者以其他方式弄虚作假骗取成交；供应商不得以任何方式干扰、影响评审工作。</w:t>
      </w:r>
    </w:p>
    <w:p>
      <w:pPr>
        <w:adjustRightInd w:val="0"/>
        <w:snapToGrid w:val="0"/>
        <w:spacing w:line="360" w:lineRule="auto"/>
        <w:jc w:val="both"/>
        <w:rPr>
          <w:rFonts w:ascii="宋体" w:hAnsi="宋体" w:cs="仿宋"/>
          <w:b/>
          <w:bCs/>
          <w:sz w:val="24"/>
        </w:rPr>
      </w:pPr>
      <w:r>
        <w:rPr>
          <w:rFonts w:hint="eastAsia" w:ascii="宋体" w:hAnsi="宋体" w:cs="仿宋"/>
          <w:b/>
          <w:bCs/>
          <w:sz w:val="24"/>
        </w:rPr>
        <w:t>9.3对评审小组成员的纪律要求</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小组成员不得收受他人的财物或者其他好处，不得向他人透露对响应文件的评审和比较、成交候选供应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adjustRightInd w:val="0"/>
        <w:snapToGrid w:val="0"/>
        <w:spacing w:line="360" w:lineRule="auto"/>
        <w:jc w:val="both"/>
        <w:rPr>
          <w:rFonts w:ascii="宋体" w:hAnsi="宋体" w:cs="仿宋"/>
          <w:b/>
          <w:bCs/>
          <w:sz w:val="24"/>
        </w:rPr>
      </w:pPr>
      <w:r>
        <w:rPr>
          <w:rFonts w:hint="eastAsia" w:ascii="宋体" w:hAnsi="宋体" w:cs="仿宋"/>
          <w:b/>
          <w:bCs/>
          <w:sz w:val="24"/>
        </w:rPr>
        <w:t>9.4对与采购活动有关的工作人员的纪律要求</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与采购活动有关的工作人员不得收受他人的财物或者其他好处，不得向他人透露对响应文件的评审和比较、成交候选供应商的推荐情况以及采购有关的其他情况。在采购活动中，与采购活动有关的工作人员不得擅离职守，影响评审工作正常进行。</w:t>
      </w:r>
    </w:p>
    <w:p>
      <w:pPr>
        <w:adjustRightInd w:val="0"/>
        <w:snapToGrid w:val="0"/>
        <w:spacing w:line="360" w:lineRule="auto"/>
        <w:jc w:val="both"/>
        <w:rPr>
          <w:rFonts w:ascii="宋体" w:hAnsi="宋体" w:cs="仿宋"/>
          <w:b/>
          <w:bCs/>
          <w:sz w:val="24"/>
        </w:rPr>
      </w:pPr>
      <w:r>
        <w:rPr>
          <w:rFonts w:hint="eastAsia" w:ascii="宋体" w:hAnsi="宋体" w:cs="仿宋"/>
          <w:b/>
          <w:bCs/>
          <w:sz w:val="24"/>
        </w:rPr>
        <w:t>10</w:t>
      </w:r>
      <w:r>
        <w:rPr>
          <w:rFonts w:ascii="宋体" w:hAnsi="宋体" w:cs="仿宋"/>
          <w:b/>
          <w:bCs/>
          <w:sz w:val="24"/>
        </w:rPr>
        <w:t xml:space="preserve"> </w:t>
      </w:r>
      <w:r>
        <w:rPr>
          <w:rFonts w:hint="eastAsia" w:ascii="宋体" w:hAnsi="宋体" w:cs="仿宋"/>
          <w:b/>
          <w:bCs/>
          <w:sz w:val="24"/>
        </w:rPr>
        <w:t>需要补充的其他内容</w:t>
      </w:r>
    </w:p>
    <w:p>
      <w:pPr>
        <w:adjustRightInd w:val="0"/>
        <w:snapToGrid w:val="0"/>
        <w:spacing w:line="360" w:lineRule="auto"/>
        <w:jc w:val="both"/>
        <w:rPr>
          <w:rFonts w:ascii="宋体" w:hAnsi="宋体" w:cs="仿宋"/>
          <w:b/>
          <w:bCs/>
          <w:sz w:val="24"/>
        </w:rPr>
      </w:pPr>
      <w:r>
        <w:rPr>
          <w:rFonts w:hint="eastAsia" w:ascii="宋体" w:hAnsi="宋体" w:cs="仿宋"/>
          <w:b/>
          <w:bCs/>
          <w:sz w:val="24"/>
        </w:rPr>
        <w:t>10.1其他</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需更补充的其他内容:见供应商须知前附表。</w:t>
      </w:r>
    </w:p>
    <w:p>
      <w:pPr>
        <w:rPr>
          <w:rFonts w:ascii="宋体" w:hAnsi="宋体" w:cs="仿宋"/>
          <w:sz w:val="24"/>
        </w:rPr>
      </w:pPr>
    </w:p>
    <w:p>
      <w:pPr>
        <w:pStyle w:val="38"/>
      </w:pPr>
    </w:p>
    <w:p>
      <w:pPr>
        <w:rPr>
          <w:rFonts w:ascii="宋体" w:hAnsi="宋体" w:cs="仿宋"/>
          <w:sz w:val="30"/>
          <w:szCs w:val="30"/>
        </w:rPr>
      </w:pPr>
      <w:r>
        <w:rPr>
          <w:rFonts w:hint="eastAsia" w:ascii="宋体" w:hAnsi="宋体" w:cs="仿宋"/>
          <w:sz w:val="30"/>
          <w:szCs w:val="30"/>
        </w:rPr>
        <w:br w:type="page"/>
      </w:r>
    </w:p>
    <w:p>
      <w:pPr>
        <w:adjustRightInd w:val="0"/>
        <w:snapToGrid w:val="0"/>
        <w:spacing w:line="360" w:lineRule="auto"/>
        <w:ind w:firstLine="600" w:firstLineChars="200"/>
        <w:rPr>
          <w:rFonts w:ascii="宋体" w:hAnsi="宋体" w:cs="仿宋"/>
          <w:sz w:val="30"/>
          <w:szCs w:val="30"/>
        </w:rPr>
      </w:pPr>
      <w:r>
        <w:rPr>
          <w:rFonts w:hint="eastAsia" w:ascii="宋体" w:hAnsi="宋体" w:cs="仿宋"/>
          <w:sz w:val="30"/>
          <w:szCs w:val="30"/>
        </w:rPr>
        <w:t>附件1  开启记录表</w:t>
      </w:r>
    </w:p>
    <w:p>
      <w:pPr>
        <w:adjustRightInd w:val="0"/>
        <w:snapToGrid w:val="0"/>
        <w:spacing w:line="360" w:lineRule="auto"/>
        <w:ind w:firstLine="723" w:firstLineChars="200"/>
        <w:jc w:val="center"/>
        <w:rPr>
          <w:rFonts w:ascii="华文中宋" w:hAnsi="华文中宋" w:eastAsia="华文中宋" w:cs="仿宋"/>
          <w:b/>
          <w:bCs/>
          <w:sz w:val="36"/>
          <w:szCs w:val="36"/>
        </w:rPr>
      </w:pPr>
    </w:p>
    <w:p>
      <w:pPr>
        <w:adjustRightInd w:val="0"/>
        <w:snapToGrid w:val="0"/>
        <w:spacing w:line="360" w:lineRule="auto"/>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开启记录表</w:t>
      </w:r>
    </w:p>
    <w:p>
      <w:pPr>
        <w:adjustRightInd w:val="0"/>
        <w:snapToGrid w:val="0"/>
        <w:spacing w:line="360" w:lineRule="auto"/>
        <w:ind w:firstLine="723" w:firstLineChars="200"/>
        <w:jc w:val="center"/>
        <w:rPr>
          <w:rFonts w:ascii="华文中宋" w:hAnsi="华文中宋" w:eastAsia="华文中宋" w:cs="仿宋"/>
          <w:b/>
          <w:bCs/>
          <w:sz w:val="36"/>
          <w:szCs w:val="36"/>
        </w:rPr>
      </w:pPr>
    </w:p>
    <w:p>
      <w:pPr>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开启时间：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月</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日</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时</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分</w:t>
      </w:r>
    </w:p>
    <w:tbl>
      <w:tblPr>
        <w:tblStyle w:val="40"/>
        <w:tblW w:w="4857"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9"/>
        <w:gridCol w:w="2217"/>
        <w:gridCol w:w="1842"/>
        <w:gridCol w:w="1842"/>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pct"/>
            <w:vAlign w:val="center"/>
          </w:tcPr>
          <w:p>
            <w:pPr>
              <w:widowControl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序 号</w:t>
            </w:r>
          </w:p>
        </w:tc>
        <w:tc>
          <w:tcPr>
            <w:tcW w:w="1238" w:type="pct"/>
            <w:vAlign w:val="center"/>
          </w:tcPr>
          <w:p>
            <w:pPr>
              <w:widowControl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w:t>
            </w:r>
          </w:p>
        </w:tc>
        <w:tc>
          <w:tcPr>
            <w:tcW w:w="1029" w:type="pct"/>
            <w:vAlign w:val="center"/>
          </w:tcPr>
          <w:p>
            <w:pPr>
              <w:widowControl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（供应商须知前附表规定的其他应公布的信息）</w:t>
            </w:r>
          </w:p>
        </w:tc>
        <w:tc>
          <w:tcPr>
            <w:tcW w:w="1029" w:type="pct"/>
            <w:vAlign w:val="center"/>
          </w:tcPr>
          <w:p>
            <w:pPr>
              <w:widowControl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报价</w:t>
            </w:r>
          </w:p>
        </w:tc>
        <w:tc>
          <w:tcPr>
            <w:tcW w:w="1029" w:type="pct"/>
            <w:vAlign w:val="center"/>
          </w:tcPr>
          <w:p>
            <w:pPr>
              <w:widowControl w:val="0"/>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360" w:lineRule="auto"/>
              <w:jc w:val="both"/>
              <w:rPr>
                <w:rFonts w:cs="仿宋" w:asciiTheme="minorEastAsia" w:hAnsiTheme="minorEastAsia" w:eastAsiaTheme="minorEastAsia"/>
                <w:sz w:val="24"/>
              </w:rPr>
            </w:pPr>
          </w:p>
        </w:tc>
        <w:tc>
          <w:tcPr>
            <w:tcW w:w="1238"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360" w:lineRule="auto"/>
              <w:jc w:val="both"/>
              <w:rPr>
                <w:rFonts w:cs="仿宋" w:asciiTheme="minorEastAsia" w:hAnsiTheme="minorEastAsia" w:eastAsiaTheme="minorEastAsia"/>
                <w:sz w:val="24"/>
              </w:rPr>
            </w:pPr>
          </w:p>
        </w:tc>
        <w:tc>
          <w:tcPr>
            <w:tcW w:w="1238"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360" w:lineRule="auto"/>
              <w:jc w:val="both"/>
              <w:rPr>
                <w:rFonts w:cs="仿宋" w:asciiTheme="minorEastAsia" w:hAnsiTheme="minorEastAsia" w:eastAsiaTheme="minorEastAsia"/>
                <w:sz w:val="24"/>
              </w:rPr>
            </w:pPr>
          </w:p>
        </w:tc>
        <w:tc>
          <w:tcPr>
            <w:tcW w:w="1238"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360" w:lineRule="auto"/>
              <w:jc w:val="both"/>
              <w:rPr>
                <w:rFonts w:cs="仿宋" w:asciiTheme="minorEastAsia" w:hAnsiTheme="minorEastAsia" w:eastAsiaTheme="minorEastAsia"/>
                <w:sz w:val="24"/>
              </w:rPr>
            </w:pPr>
          </w:p>
        </w:tc>
        <w:tc>
          <w:tcPr>
            <w:tcW w:w="1238"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360" w:lineRule="auto"/>
              <w:jc w:val="both"/>
              <w:rPr>
                <w:rFonts w:cs="仿宋" w:asciiTheme="minorEastAsia" w:hAnsiTheme="minorEastAsia" w:eastAsiaTheme="minorEastAsia"/>
                <w:sz w:val="24"/>
              </w:rPr>
            </w:pPr>
          </w:p>
        </w:tc>
        <w:tc>
          <w:tcPr>
            <w:tcW w:w="1238"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c>
          <w:tcPr>
            <w:tcW w:w="1029" w:type="pct"/>
            <w:vAlign w:val="center"/>
          </w:tcPr>
          <w:p>
            <w:pPr>
              <w:widowControl w:val="0"/>
              <w:spacing w:line="360" w:lineRule="auto"/>
              <w:jc w:val="both"/>
              <w:rPr>
                <w:rFonts w:cs="仿宋" w:asciiTheme="minorEastAsia" w:hAnsiTheme="minorEastAsia" w:eastAsiaTheme="minorEastAsia"/>
                <w:sz w:val="24"/>
              </w:rPr>
            </w:pPr>
          </w:p>
        </w:tc>
      </w:tr>
    </w:tbl>
    <w:p>
      <w:pPr>
        <w:spacing w:line="360" w:lineRule="auto"/>
        <w:jc w:val="both"/>
        <w:rPr>
          <w:rFonts w:cs="仿宋" w:asciiTheme="minorEastAsia" w:hAnsiTheme="minorEastAsia" w:eastAsiaTheme="minorEastAsia"/>
          <w:sz w:val="24"/>
        </w:rPr>
      </w:pPr>
    </w:p>
    <w:p>
      <w:pPr>
        <w:spacing w:line="360" w:lineRule="auto"/>
        <w:ind w:firstLine="1200" w:firstLineChars="500"/>
        <w:jc w:val="both"/>
        <w:rPr>
          <w:rFonts w:cs="仿宋" w:asciiTheme="minorEastAsia" w:hAnsiTheme="minorEastAsia" w:eastAsiaTheme="minorEastAsia"/>
          <w:sz w:val="24"/>
          <w:u w:val="single"/>
        </w:rPr>
      </w:pPr>
      <w:r>
        <w:rPr>
          <w:rFonts w:hint="eastAsia" w:cs="仿宋" w:asciiTheme="minorEastAsia" w:hAnsiTheme="minorEastAsia" w:eastAsiaTheme="minorEastAsia"/>
          <w:sz w:val="24"/>
        </w:rPr>
        <w:t>采购人代表：</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 xml:space="preserve">      记录人：</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监督人：</w:t>
      </w:r>
      <w:r>
        <w:rPr>
          <w:rFonts w:hint="eastAsia" w:cs="仿宋" w:asciiTheme="minorEastAsia" w:hAnsiTheme="minorEastAsia" w:eastAsiaTheme="minorEastAsia"/>
          <w:sz w:val="24"/>
          <w:u w:val="single"/>
        </w:rPr>
        <w:t xml:space="preserve">        </w:t>
      </w:r>
    </w:p>
    <w:p>
      <w:pPr>
        <w:spacing w:line="360" w:lineRule="auto"/>
        <w:jc w:val="both"/>
        <w:rPr>
          <w:rFonts w:cs="仿宋" w:asciiTheme="minorEastAsia" w:hAnsiTheme="minorEastAsia" w:eastAsiaTheme="minorEastAsia"/>
          <w:sz w:val="24"/>
        </w:rPr>
      </w:pPr>
    </w:p>
    <w:p>
      <w:pPr>
        <w:spacing w:line="360" w:lineRule="auto"/>
        <w:jc w:val="both"/>
        <w:rPr>
          <w:rFonts w:ascii="仿宋" w:hAnsi="仿宋" w:eastAsia="仿宋" w:cs="仿宋"/>
          <w:sz w:val="30"/>
          <w:szCs w:val="30"/>
        </w:rPr>
      </w:pPr>
    </w:p>
    <w:p>
      <w:pPr>
        <w:spacing w:line="360" w:lineRule="auto"/>
        <w:jc w:val="both"/>
        <w:rPr>
          <w:rFonts w:ascii="仿宋" w:hAnsi="仿宋" w:eastAsia="仿宋" w:cs="仿宋"/>
          <w:sz w:val="30"/>
          <w:szCs w:val="30"/>
        </w:rPr>
      </w:pPr>
      <w:r>
        <w:rPr>
          <w:rFonts w:ascii="仿宋" w:hAnsi="仿宋" w:eastAsia="仿宋" w:cs="仿宋"/>
          <w:sz w:val="30"/>
          <w:szCs w:val="30"/>
        </w:rPr>
        <w:br w:type="page"/>
      </w:r>
    </w:p>
    <w:p>
      <w:pPr>
        <w:adjustRightInd w:val="0"/>
        <w:snapToGrid w:val="0"/>
        <w:spacing w:line="360" w:lineRule="auto"/>
        <w:ind w:firstLine="600" w:firstLineChars="200"/>
        <w:rPr>
          <w:rFonts w:ascii="宋体" w:hAnsi="宋体" w:cs="仿宋"/>
          <w:sz w:val="30"/>
          <w:szCs w:val="30"/>
        </w:rPr>
      </w:pPr>
      <w:r>
        <w:rPr>
          <w:rFonts w:hint="eastAsia" w:ascii="宋体" w:hAnsi="宋体" w:cs="仿宋"/>
          <w:sz w:val="30"/>
          <w:szCs w:val="30"/>
        </w:rPr>
        <w:t>附件2  问题澄清通知</w:t>
      </w:r>
    </w:p>
    <w:p>
      <w:pPr>
        <w:adjustRightInd w:val="0"/>
        <w:snapToGrid w:val="0"/>
        <w:spacing w:line="360" w:lineRule="auto"/>
        <w:ind w:firstLine="723" w:firstLineChars="200"/>
        <w:jc w:val="center"/>
        <w:rPr>
          <w:rFonts w:ascii="华文中宋" w:hAnsi="华文中宋" w:eastAsia="华文中宋" w:cs="仿宋"/>
          <w:b/>
          <w:bCs/>
          <w:sz w:val="36"/>
          <w:szCs w:val="36"/>
        </w:rPr>
      </w:pPr>
    </w:p>
    <w:p>
      <w:pPr>
        <w:adjustRightInd w:val="0"/>
        <w:snapToGrid w:val="0"/>
        <w:spacing w:line="360" w:lineRule="auto"/>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问题澄清通知</w:t>
      </w:r>
    </w:p>
    <w:p>
      <w:pPr>
        <w:adjustRightInd w:val="0"/>
        <w:snapToGrid w:val="0"/>
        <w:spacing w:line="360" w:lineRule="auto"/>
        <w:ind w:firstLine="480" w:firstLineChars="200"/>
        <w:jc w:val="center"/>
        <w:rPr>
          <w:rFonts w:ascii="宋体" w:hAnsi="宋体" w:cs="仿宋"/>
          <w:sz w:val="24"/>
        </w:rPr>
      </w:pPr>
      <w:r>
        <w:rPr>
          <w:rFonts w:hint="eastAsia" w:ascii="宋体" w:hAnsi="宋体" w:cs="仿宋"/>
          <w:sz w:val="24"/>
        </w:rPr>
        <w:t>(编号:</w:t>
      </w:r>
      <w:r>
        <w:rPr>
          <w:rFonts w:hint="eastAsia" w:ascii="宋体" w:hAnsi="宋体" w:cs="仿宋"/>
          <w:sz w:val="24"/>
          <w:u w:val="single"/>
        </w:rPr>
        <w:t xml:space="preserve">          </w:t>
      </w:r>
      <w:r>
        <w:rPr>
          <w:rFonts w:hint="eastAsia" w:ascii="宋体" w:hAnsi="宋体" w:cs="仿宋"/>
          <w:sz w:val="24"/>
        </w:rPr>
        <w:t>）</w:t>
      </w:r>
    </w:p>
    <w:p>
      <w:pPr>
        <w:adjustRightInd w:val="0"/>
        <w:snapToGrid w:val="0"/>
        <w:spacing w:line="360" w:lineRule="auto"/>
        <w:ind w:left="210" w:leftChars="100" w:firstLine="240" w:firstLineChars="100"/>
        <w:jc w:val="both"/>
        <w:rPr>
          <w:rFonts w:ascii="宋体" w:hAnsi="宋体" w:cs="仿宋"/>
          <w:sz w:val="24"/>
          <w:u w:val="single"/>
        </w:rPr>
      </w:pPr>
      <w:r>
        <w:rPr>
          <w:rFonts w:hint="eastAsia" w:ascii="宋体" w:hAnsi="宋体" w:cs="仿宋"/>
          <w:sz w:val="24"/>
          <w:u w:val="single"/>
        </w:rPr>
        <w:t>(供应商名称):</w:t>
      </w:r>
    </w:p>
    <w:p>
      <w:pPr>
        <w:adjustRightInd w:val="0"/>
        <w:snapToGrid w:val="0"/>
        <w:spacing w:line="360" w:lineRule="auto"/>
        <w:ind w:left="210" w:leftChars="100" w:firstLine="496" w:firstLineChars="207"/>
        <w:jc w:val="both"/>
        <w:rPr>
          <w:rFonts w:ascii="宋体" w:hAnsi="宋体" w:cs="仿宋"/>
          <w:sz w:val="24"/>
        </w:rPr>
      </w:pPr>
      <w:r>
        <w:rPr>
          <w:rFonts w:hint="eastAsia" w:ascii="宋体" w:hAnsi="宋体" w:cs="仿宋"/>
          <w:sz w:val="24"/>
        </w:rPr>
        <w:t>评审小组对你方的响应文件进行了仔细的审查，现需你方对下列问题以书面形式予以澄清、说明和补正:</w:t>
      </w:r>
    </w:p>
    <w:p>
      <w:pPr>
        <w:adjustRightInd w:val="0"/>
        <w:snapToGrid w:val="0"/>
        <w:spacing w:line="360" w:lineRule="auto"/>
        <w:ind w:left="210" w:leftChars="100" w:firstLine="496" w:firstLineChars="207"/>
        <w:jc w:val="both"/>
        <w:rPr>
          <w:rFonts w:ascii="宋体" w:hAnsi="宋体" w:cs="仿宋"/>
          <w:sz w:val="24"/>
        </w:rPr>
      </w:pPr>
      <w:r>
        <w:rPr>
          <w:rFonts w:hint="eastAsia" w:ascii="宋体" w:hAnsi="宋体" w:cs="仿宋"/>
          <w:sz w:val="24"/>
        </w:rPr>
        <w:t>1.</w:t>
      </w:r>
    </w:p>
    <w:p>
      <w:pPr>
        <w:adjustRightInd w:val="0"/>
        <w:snapToGrid w:val="0"/>
        <w:spacing w:line="360" w:lineRule="auto"/>
        <w:ind w:left="210" w:leftChars="100" w:firstLine="496" w:firstLineChars="207"/>
        <w:jc w:val="both"/>
        <w:rPr>
          <w:rFonts w:ascii="宋体" w:hAnsi="宋体" w:cs="仿宋"/>
          <w:sz w:val="24"/>
        </w:rPr>
      </w:pPr>
      <w:r>
        <w:rPr>
          <w:rFonts w:hint="eastAsia" w:ascii="宋体" w:hAnsi="宋体" w:cs="仿宋"/>
          <w:sz w:val="24"/>
        </w:rPr>
        <w:t>2.</w:t>
      </w:r>
    </w:p>
    <w:p>
      <w:pPr>
        <w:adjustRightInd w:val="0"/>
        <w:snapToGrid w:val="0"/>
        <w:spacing w:line="360" w:lineRule="auto"/>
        <w:ind w:left="508" w:leftChars="242" w:firstLine="496" w:firstLineChars="207"/>
        <w:jc w:val="both"/>
        <w:rPr>
          <w:rFonts w:ascii="宋体" w:hAnsi="宋体" w:cs="仿宋"/>
          <w:sz w:val="24"/>
        </w:rPr>
      </w:pPr>
      <w:r>
        <w:rPr>
          <w:rFonts w:hint="eastAsia" w:ascii="宋体" w:hAnsi="宋体" w:cs="仿宋"/>
          <w:sz w:val="24"/>
        </w:rPr>
        <w:t>......</w:t>
      </w:r>
    </w:p>
    <w:p>
      <w:pPr>
        <w:adjustRightInd w:val="0"/>
        <w:snapToGrid w:val="0"/>
        <w:spacing w:line="360" w:lineRule="auto"/>
        <w:ind w:left="141" w:leftChars="67" w:firstLine="566" w:firstLineChars="236"/>
        <w:jc w:val="both"/>
        <w:rPr>
          <w:rFonts w:ascii="宋体" w:hAnsi="宋体" w:cs="仿宋"/>
          <w:sz w:val="24"/>
        </w:rPr>
      </w:pPr>
      <w:r>
        <w:rPr>
          <w:rFonts w:hint="eastAsia" w:ascii="宋体" w:hAnsi="宋体" w:cs="仿宋"/>
          <w:sz w:val="24"/>
        </w:rPr>
        <w:t>请将上述问题的澄清、说明和补正于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r>
        <w:rPr>
          <w:rFonts w:hint="eastAsia" w:ascii="宋体" w:hAnsi="宋体" w:cs="仿宋"/>
          <w:sz w:val="24"/>
          <w:u w:val="single"/>
        </w:rPr>
        <w:t xml:space="preserve">  </w:t>
      </w:r>
      <w:r>
        <w:rPr>
          <w:rFonts w:hint="eastAsia" w:ascii="宋体" w:hAnsi="宋体" w:cs="仿宋"/>
          <w:sz w:val="24"/>
        </w:rPr>
        <w:t>时前递交至</w:t>
      </w:r>
      <w:r>
        <w:rPr>
          <w:rFonts w:hint="eastAsia" w:ascii="宋体" w:hAnsi="宋体" w:cs="仿宋"/>
          <w:sz w:val="24"/>
          <w:u w:val="single"/>
        </w:rPr>
        <w:t>(详细地址)</w:t>
      </w:r>
      <w:r>
        <w:rPr>
          <w:rFonts w:hint="eastAsia" w:ascii="宋体" w:hAnsi="宋体" w:cs="仿宋"/>
          <w:sz w:val="24"/>
        </w:rPr>
        <w:t>或发电子邮件至</w:t>
      </w:r>
      <w:r>
        <w:rPr>
          <w:rFonts w:hint="eastAsia" w:ascii="宋体" w:hAnsi="宋体" w:cs="仿宋"/>
          <w:sz w:val="24"/>
          <w:u w:val="single"/>
        </w:rPr>
        <w:t>(电子邮箱地址)</w:t>
      </w:r>
      <w:r>
        <w:rPr>
          <w:rFonts w:hint="eastAsia" w:ascii="宋体" w:hAnsi="宋体" w:cs="仿宋"/>
          <w:sz w:val="24"/>
        </w:rPr>
        <w:t>。采用电子邮件方式的，应在</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日_时前将原件递交至</w:t>
      </w:r>
      <w:r>
        <w:rPr>
          <w:rFonts w:hint="eastAsia" w:ascii="宋体" w:hAnsi="宋体" w:cs="仿宋"/>
          <w:sz w:val="24"/>
          <w:u w:val="single"/>
        </w:rPr>
        <w:t>(详细地址)</w:t>
      </w:r>
      <w:r>
        <w:rPr>
          <w:rFonts w:hint="eastAsia" w:ascii="宋体" w:hAnsi="宋体" w:cs="仿宋"/>
          <w:sz w:val="24"/>
        </w:rPr>
        <w:t>。</w:t>
      </w:r>
    </w:p>
    <w:p>
      <w:pPr>
        <w:adjustRightInd w:val="0"/>
        <w:snapToGrid w:val="0"/>
        <w:spacing w:line="360" w:lineRule="auto"/>
        <w:ind w:left="141" w:leftChars="67" w:firstLine="566" w:firstLineChars="236"/>
        <w:jc w:val="both"/>
        <w:rPr>
          <w:rFonts w:ascii="宋体" w:hAnsi="宋体" w:cs="仿宋"/>
          <w:sz w:val="24"/>
        </w:rPr>
      </w:pPr>
    </w:p>
    <w:p>
      <w:pPr>
        <w:adjustRightInd w:val="0"/>
        <w:snapToGrid w:val="0"/>
        <w:spacing w:line="360" w:lineRule="auto"/>
        <w:ind w:left="210" w:leftChars="100" w:firstLine="240" w:firstLineChars="100"/>
        <w:jc w:val="both"/>
        <w:rPr>
          <w:rFonts w:ascii="宋体" w:hAnsi="宋体" w:cs="仿宋"/>
          <w:sz w:val="24"/>
        </w:rPr>
      </w:pPr>
    </w:p>
    <w:p>
      <w:pPr>
        <w:adjustRightInd w:val="0"/>
        <w:snapToGrid w:val="0"/>
        <w:spacing w:line="360" w:lineRule="auto"/>
        <w:ind w:left="210" w:leftChars="100" w:firstLine="240" w:firstLineChars="100"/>
        <w:jc w:val="both"/>
        <w:rPr>
          <w:rFonts w:ascii="宋体" w:hAnsi="宋体" w:cs="仿宋"/>
          <w:sz w:val="24"/>
        </w:rPr>
      </w:pPr>
    </w:p>
    <w:p>
      <w:pPr>
        <w:adjustRightInd w:val="0"/>
        <w:snapToGrid w:val="0"/>
        <w:spacing w:line="360" w:lineRule="auto"/>
        <w:ind w:left="210" w:leftChars="100" w:firstLine="4560" w:firstLineChars="1900"/>
        <w:jc w:val="both"/>
        <w:rPr>
          <w:rFonts w:ascii="宋体" w:hAnsi="宋体" w:cs="仿宋"/>
          <w:sz w:val="24"/>
          <w:u w:val="single"/>
        </w:rPr>
      </w:pPr>
      <w:r>
        <w:rPr>
          <w:rFonts w:hint="eastAsia" w:ascii="宋体" w:hAnsi="宋体" w:cs="仿宋"/>
          <w:sz w:val="24"/>
        </w:rPr>
        <w:t>采购人(或采购代理机构):</w:t>
      </w:r>
      <w:r>
        <w:rPr>
          <w:rFonts w:hint="eastAsia" w:ascii="宋体" w:hAnsi="宋体" w:cs="仿宋"/>
          <w:sz w:val="24"/>
          <w:u w:val="single"/>
        </w:rPr>
        <w:t>(签字或盖单位章)</w:t>
      </w:r>
    </w:p>
    <w:p>
      <w:pPr>
        <w:spacing w:line="360" w:lineRule="auto"/>
        <w:ind w:firstLine="6480" w:firstLineChars="2700"/>
        <w:jc w:val="both"/>
        <w:rPr>
          <w:rFonts w:ascii="仿宋" w:hAnsi="仿宋" w:eastAsia="仿宋" w:cs="仿宋"/>
          <w:sz w:val="30"/>
          <w:szCs w:val="30"/>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r>
        <w:rPr>
          <w:rFonts w:hint="eastAsia" w:ascii="仿宋" w:hAnsi="仿宋" w:eastAsia="仿宋" w:cs="仿宋"/>
          <w:sz w:val="30"/>
          <w:szCs w:val="30"/>
        </w:rPr>
        <w:br w:type="page"/>
      </w:r>
    </w:p>
    <w:p>
      <w:pPr>
        <w:adjustRightInd w:val="0"/>
        <w:snapToGrid w:val="0"/>
        <w:spacing w:line="360" w:lineRule="auto"/>
        <w:ind w:firstLine="567" w:firstLineChars="189"/>
        <w:rPr>
          <w:rFonts w:ascii="宋体" w:hAnsi="宋体" w:cs="仿宋"/>
          <w:sz w:val="30"/>
          <w:szCs w:val="30"/>
        </w:rPr>
      </w:pPr>
      <w:r>
        <w:rPr>
          <w:rFonts w:hint="eastAsia" w:ascii="宋体" w:hAnsi="宋体" w:cs="仿宋"/>
          <w:sz w:val="30"/>
          <w:szCs w:val="30"/>
        </w:rPr>
        <w:t>附件3  问题的澄清</w:t>
      </w:r>
    </w:p>
    <w:p>
      <w:pPr>
        <w:adjustRightInd w:val="0"/>
        <w:snapToGrid w:val="0"/>
        <w:spacing w:line="360" w:lineRule="auto"/>
        <w:jc w:val="center"/>
        <w:rPr>
          <w:rFonts w:ascii="华文中宋" w:hAnsi="华文中宋" w:eastAsia="华文中宋" w:cs="仿宋"/>
          <w:b/>
          <w:bCs/>
          <w:sz w:val="36"/>
          <w:szCs w:val="36"/>
        </w:rPr>
      </w:pPr>
    </w:p>
    <w:p>
      <w:pPr>
        <w:adjustRightInd w:val="0"/>
        <w:snapToGrid w:val="0"/>
        <w:spacing w:line="360" w:lineRule="auto"/>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问题的澄清</w:t>
      </w:r>
    </w:p>
    <w:p>
      <w:pPr>
        <w:adjustRightInd w:val="0"/>
        <w:snapToGrid w:val="0"/>
        <w:spacing w:line="360" w:lineRule="auto"/>
        <w:ind w:firstLine="480" w:firstLineChars="200"/>
        <w:jc w:val="center"/>
        <w:rPr>
          <w:rFonts w:ascii="宋体" w:hAnsi="宋体" w:cs="仿宋"/>
          <w:sz w:val="24"/>
        </w:rPr>
      </w:pPr>
      <w:r>
        <w:rPr>
          <w:rFonts w:hint="eastAsia" w:ascii="宋体" w:hAnsi="宋体" w:cs="仿宋"/>
          <w:sz w:val="24"/>
        </w:rPr>
        <w:t>(编号:</w:t>
      </w:r>
      <w:r>
        <w:rPr>
          <w:rFonts w:hint="eastAsia" w:ascii="宋体" w:hAnsi="宋体" w:cs="仿宋"/>
          <w:sz w:val="24"/>
          <w:u w:val="single"/>
        </w:rPr>
        <w:t xml:space="preserve">                 </w:t>
      </w:r>
      <w:r>
        <w:rPr>
          <w:rFonts w:hint="eastAsia" w:ascii="宋体" w:hAnsi="宋体" w:cs="仿宋"/>
          <w:sz w:val="24"/>
        </w:rPr>
        <w:t>)</w:t>
      </w:r>
    </w:p>
    <w:p>
      <w:pPr>
        <w:adjustRightInd w:val="0"/>
        <w:snapToGrid w:val="0"/>
        <w:spacing w:line="360" w:lineRule="auto"/>
        <w:jc w:val="both"/>
        <w:rPr>
          <w:rFonts w:ascii="宋体" w:hAnsi="宋体" w:cs="仿宋"/>
          <w:sz w:val="24"/>
        </w:rPr>
      </w:pPr>
      <w:r>
        <w:rPr>
          <w:rFonts w:hint="eastAsia" w:ascii="宋体" w:hAnsi="宋体" w:cs="仿宋"/>
          <w:sz w:val="24"/>
        </w:rPr>
        <w:t>评审小组:</w:t>
      </w:r>
    </w:p>
    <w:p>
      <w:pPr>
        <w:adjustRightInd w:val="0"/>
        <w:snapToGrid w:val="0"/>
        <w:spacing w:line="360" w:lineRule="auto"/>
        <w:ind w:firstLine="530" w:firstLineChars="221"/>
        <w:jc w:val="both"/>
        <w:rPr>
          <w:rFonts w:ascii="宋体" w:hAnsi="宋体" w:cs="仿宋"/>
          <w:sz w:val="24"/>
        </w:rPr>
      </w:pPr>
      <w:r>
        <w:rPr>
          <w:rFonts w:hint="eastAsia" w:ascii="宋体" w:hAnsi="宋体" w:cs="仿宋"/>
          <w:sz w:val="24"/>
        </w:rPr>
        <w:t>问题澄清通知(编号:</w:t>
      </w:r>
      <w:r>
        <w:rPr>
          <w:rFonts w:hint="eastAsia" w:ascii="宋体" w:hAnsi="宋体" w:cs="仿宋"/>
          <w:sz w:val="24"/>
          <w:u w:val="single"/>
        </w:rPr>
        <w:t xml:space="preserve">                </w:t>
      </w:r>
      <w:r>
        <w:rPr>
          <w:rFonts w:hint="eastAsia" w:ascii="宋体" w:hAnsi="宋体" w:cs="仿宋"/>
          <w:sz w:val="24"/>
        </w:rPr>
        <w:t>)已收悉，现澄清、说明和补正如下：</w:t>
      </w:r>
    </w:p>
    <w:p>
      <w:pPr>
        <w:adjustRightInd w:val="0"/>
        <w:snapToGrid w:val="0"/>
        <w:spacing w:line="360" w:lineRule="auto"/>
        <w:ind w:firstLine="530" w:firstLineChars="221"/>
        <w:jc w:val="both"/>
        <w:rPr>
          <w:rFonts w:ascii="宋体" w:hAnsi="宋体" w:cs="仿宋"/>
          <w:sz w:val="24"/>
        </w:rPr>
      </w:pPr>
      <w:r>
        <w:rPr>
          <w:rFonts w:hint="eastAsia" w:ascii="宋体" w:hAnsi="宋体" w:cs="仿宋"/>
          <w:sz w:val="24"/>
        </w:rPr>
        <w:t>1.</w:t>
      </w:r>
    </w:p>
    <w:p>
      <w:pPr>
        <w:adjustRightInd w:val="0"/>
        <w:snapToGrid w:val="0"/>
        <w:spacing w:line="360" w:lineRule="auto"/>
        <w:ind w:firstLine="530" w:firstLineChars="221"/>
        <w:jc w:val="both"/>
        <w:rPr>
          <w:rFonts w:ascii="宋体" w:hAnsi="宋体" w:cs="仿宋"/>
          <w:sz w:val="24"/>
        </w:rPr>
      </w:pPr>
      <w:r>
        <w:rPr>
          <w:rFonts w:hint="eastAsia" w:ascii="宋体" w:hAnsi="宋体" w:cs="仿宋"/>
          <w:sz w:val="24"/>
        </w:rPr>
        <w:t>2.</w:t>
      </w:r>
    </w:p>
    <w:p>
      <w:pPr>
        <w:adjustRightInd w:val="0"/>
        <w:snapToGrid w:val="0"/>
        <w:spacing w:line="360" w:lineRule="auto"/>
        <w:ind w:firstLine="530" w:firstLineChars="221"/>
        <w:jc w:val="both"/>
        <w:rPr>
          <w:rFonts w:ascii="宋体" w:hAnsi="宋体" w:cs="仿宋"/>
          <w:sz w:val="24"/>
        </w:rPr>
      </w:pPr>
      <w:r>
        <w:rPr>
          <w:rFonts w:hint="eastAsia" w:ascii="宋体" w:hAnsi="宋体" w:cs="仿宋"/>
          <w:sz w:val="24"/>
        </w:rPr>
        <w:t>......</w:t>
      </w:r>
    </w:p>
    <w:p>
      <w:pPr>
        <w:adjustRightInd w:val="0"/>
        <w:snapToGrid w:val="0"/>
        <w:spacing w:line="360" w:lineRule="auto"/>
        <w:ind w:firstLine="530" w:firstLineChars="221"/>
        <w:jc w:val="both"/>
        <w:rPr>
          <w:rFonts w:ascii="宋体" w:hAnsi="宋体" w:cs="仿宋"/>
          <w:sz w:val="24"/>
        </w:rPr>
      </w:pPr>
      <w:r>
        <w:rPr>
          <w:rFonts w:hint="eastAsia" w:ascii="宋体" w:hAnsi="宋体" w:cs="仿宋"/>
          <w:sz w:val="24"/>
        </w:rPr>
        <w:t>上述问题澄清、说明和补正，构成我方响应文件的组成部分。</w:t>
      </w:r>
    </w:p>
    <w:p>
      <w:pPr>
        <w:adjustRightInd w:val="0"/>
        <w:snapToGrid w:val="0"/>
        <w:spacing w:line="360" w:lineRule="auto"/>
        <w:ind w:firstLine="530" w:firstLineChars="221"/>
        <w:jc w:val="both"/>
        <w:rPr>
          <w:rFonts w:ascii="宋体" w:hAnsi="宋体" w:cs="仿宋"/>
          <w:sz w:val="24"/>
        </w:rPr>
      </w:pPr>
    </w:p>
    <w:p>
      <w:pPr>
        <w:adjustRightInd w:val="0"/>
        <w:snapToGrid w:val="0"/>
        <w:spacing w:line="360" w:lineRule="auto"/>
        <w:ind w:firstLine="5090" w:firstLineChars="2121"/>
        <w:jc w:val="both"/>
        <w:rPr>
          <w:rFonts w:ascii="宋体" w:hAnsi="宋体" w:cs="仿宋"/>
          <w:sz w:val="24"/>
          <w:u w:val="single"/>
        </w:rPr>
      </w:pPr>
      <w:r>
        <w:rPr>
          <w:rFonts w:hint="eastAsia" w:ascii="宋体" w:hAnsi="宋体" w:cs="仿宋"/>
          <w:sz w:val="24"/>
        </w:rPr>
        <w:t>供应商:</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adjustRightInd w:val="0"/>
        <w:snapToGrid w:val="0"/>
        <w:spacing w:line="360" w:lineRule="auto"/>
        <w:ind w:firstLine="3410" w:firstLineChars="1421"/>
        <w:jc w:val="both"/>
        <w:rPr>
          <w:rFonts w:ascii="宋体" w:hAnsi="宋体" w:cs="仿宋"/>
          <w:sz w:val="24"/>
          <w:u w:val="single"/>
        </w:rPr>
      </w:pPr>
      <w:r>
        <w:rPr>
          <w:rFonts w:hint="eastAsia" w:ascii="宋体" w:hAnsi="宋体" w:cs="仿宋"/>
          <w:sz w:val="24"/>
        </w:rPr>
        <w:t>法定代表人(单位负责人)或其授权的代理人:</w:t>
      </w:r>
      <w:r>
        <w:rPr>
          <w:rFonts w:ascii="宋体" w:hAnsi="宋体" w:cs="仿宋"/>
          <w:sz w:val="24"/>
          <w:u w:val="single"/>
        </w:rPr>
        <w:t xml:space="preserve">  </w:t>
      </w:r>
      <w:r>
        <w:rPr>
          <w:rFonts w:hint="eastAsia" w:ascii="宋体" w:hAnsi="宋体" w:cs="仿宋"/>
          <w:sz w:val="24"/>
          <w:u w:val="single"/>
        </w:rPr>
        <w:t>(签字)</w:t>
      </w:r>
      <w:r>
        <w:rPr>
          <w:rFonts w:ascii="宋体" w:hAnsi="宋体" w:cs="仿宋"/>
          <w:sz w:val="24"/>
          <w:u w:val="single"/>
        </w:rPr>
        <w:t xml:space="preserve">  </w:t>
      </w:r>
    </w:p>
    <w:p>
      <w:pPr>
        <w:spacing w:line="360" w:lineRule="auto"/>
        <w:ind w:firstLine="5570" w:firstLineChars="2321"/>
        <w:jc w:val="both"/>
        <w:rPr>
          <w:rFonts w:ascii="宋体" w:hAnsi="宋体" w:cs="仿宋"/>
          <w:sz w:val="24"/>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rPr>
        <w:t>日</w:t>
      </w:r>
      <w:r>
        <w:rPr>
          <w:rFonts w:hint="eastAsia" w:ascii="宋体" w:hAnsi="宋体" w:cs="仿宋"/>
          <w:sz w:val="24"/>
        </w:rPr>
        <w:br w:type="page"/>
      </w:r>
    </w:p>
    <w:p>
      <w:pPr>
        <w:adjustRightInd w:val="0"/>
        <w:snapToGrid w:val="0"/>
        <w:spacing w:line="360" w:lineRule="auto"/>
        <w:ind w:firstLine="567" w:firstLineChars="189"/>
        <w:rPr>
          <w:rFonts w:ascii="宋体" w:hAnsi="宋体" w:cs="仿宋"/>
          <w:sz w:val="30"/>
          <w:szCs w:val="30"/>
        </w:rPr>
      </w:pPr>
      <w:r>
        <w:rPr>
          <w:rFonts w:hint="eastAsia" w:ascii="宋体" w:hAnsi="宋体" w:cs="仿宋"/>
          <w:sz w:val="30"/>
          <w:szCs w:val="30"/>
        </w:rPr>
        <w:t>附件4  成交通知书</w:t>
      </w:r>
    </w:p>
    <w:p>
      <w:pPr>
        <w:adjustRightInd w:val="0"/>
        <w:snapToGrid w:val="0"/>
        <w:spacing w:line="360" w:lineRule="auto"/>
        <w:jc w:val="center"/>
        <w:rPr>
          <w:rFonts w:ascii="华文中宋" w:hAnsi="华文中宋" w:eastAsia="华文中宋" w:cs="仿宋"/>
          <w:b/>
          <w:bCs/>
          <w:sz w:val="36"/>
          <w:szCs w:val="36"/>
        </w:rPr>
      </w:pPr>
    </w:p>
    <w:p>
      <w:pPr>
        <w:adjustRightInd w:val="0"/>
        <w:snapToGrid w:val="0"/>
        <w:spacing w:line="360" w:lineRule="auto"/>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成交通知书</w:t>
      </w:r>
    </w:p>
    <w:p>
      <w:pPr>
        <w:adjustRightInd w:val="0"/>
        <w:snapToGrid w:val="0"/>
        <w:spacing w:line="360" w:lineRule="auto"/>
        <w:ind w:firstLine="723" w:firstLineChars="200"/>
        <w:jc w:val="both"/>
        <w:rPr>
          <w:rFonts w:ascii="华文中宋" w:hAnsi="华文中宋" w:eastAsia="华文中宋" w:cs="仿宋"/>
          <w:b/>
          <w:bCs/>
          <w:sz w:val="36"/>
          <w:szCs w:val="36"/>
        </w:rPr>
      </w:pPr>
    </w:p>
    <w:p>
      <w:pPr>
        <w:adjustRightInd w:val="0"/>
        <w:snapToGrid w:val="0"/>
        <w:spacing w:line="360" w:lineRule="auto"/>
        <w:jc w:val="both"/>
        <w:rPr>
          <w:rFonts w:ascii="宋体" w:hAnsi="宋体" w:cs="仿宋"/>
          <w:sz w:val="24"/>
        </w:rPr>
      </w:pPr>
      <w:r>
        <w:rPr>
          <w:rFonts w:hint="eastAsia" w:ascii="宋体" w:hAnsi="宋体" w:cs="仿宋"/>
          <w:sz w:val="24"/>
          <w:u w:val="single"/>
        </w:rPr>
        <w:t>(成交供应商名称)</w:t>
      </w:r>
      <w:r>
        <w:rPr>
          <w:rFonts w:hint="eastAsia" w:ascii="宋体" w:hAnsi="宋体" w:cs="仿宋"/>
          <w:sz w:val="24"/>
        </w:rPr>
        <w:t>:</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你方所递交的</w:t>
      </w:r>
      <w:r>
        <w:rPr>
          <w:rFonts w:hint="eastAsia" w:ascii="宋体" w:hAnsi="宋体" w:cs="仿宋"/>
          <w:sz w:val="24"/>
          <w:u w:val="single"/>
        </w:rPr>
        <w:t>(项目名称)</w:t>
      </w:r>
      <w:r>
        <w:rPr>
          <w:rFonts w:hint="eastAsia" w:ascii="宋体" w:hAnsi="宋体" w:cs="仿宋"/>
          <w:sz w:val="24"/>
        </w:rPr>
        <w:t>的响应文件已被我方接受，被确定为成交供应商。</w:t>
      </w:r>
    </w:p>
    <w:p>
      <w:pPr>
        <w:adjustRightInd w:val="0"/>
        <w:snapToGrid w:val="0"/>
        <w:spacing w:line="360" w:lineRule="auto"/>
        <w:ind w:firstLine="480" w:firstLineChars="200"/>
        <w:jc w:val="both"/>
        <w:rPr>
          <w:rFonts w:ascii="宋体" w:hAnsi="宋体" w:cs="仿宋"/>
          <w:sz w:val="24"/>
          <w:u w:val="single"/>
        </w:rPr>
      </w:pPr>
      <w:r>
        <w:rPr>
          <w:rFonts w:hint="eastAsia" w:ascii="宋体" w:hAnsi="宋体" w:cs="仿宋"/>
          <w:sz w:val="24"/>
        </w:rPr>
        <w:t>成交价:</w:t>
      </w:r>
      <w:r>
        <w:rPr>
          <w:rFonts w:hint="eastAsia" w:ascii="宋体" w:hAnsi="宋体" w:cs="仿宋"/>
          <w:sz w:val="24"/>
          <w:u w:val="single"/>
        </w:rPr>
        <w:t xml:space="preserve">         </w:t>
      </w:r>
      <w:r>
        <w:rPr>
          <w:rFonts w:hint="eastAsia" w:ascii="宋体" w:hAnsi="宋体" w:cs="仿宋"/>
          <w:sz w:val="24"/>
        </w:rPr>
        <w:t xml:space="preserve"> 。</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请你方在接到本通知书后的</w:t>
      </w:r>
      <w:r>
        <w:rPr>
          <w:rFonts w:hint="eastAsia" w:ascii="宋体" w:hAnsi="宋体" w:cs="仿宋"/>
          <w:sz w:val="24"/>
          <w:u w:val="single"/>
        </w:rPr>
        <w:t xml:space="preserve">    </w:t>
      </w:r>
      <w:r>
        <w:rPr>
          <w:rFonts w:hint="eastAsia" w:ascii="宋体" w:hAnsi="宋体" w:cs="仿宋"/>
          <w:sz w:val="24"/>
        </w:rPr>
        <w:t>日内到</w:t>
      </w:r>
      <w:r>
        <w:rPr>
          <w:rFonts w:hint="eastAsia" w:ascii="宋体" w:hAnsi="宋体" w:cs="仿宋"/>
          <w:sz w:val="24"/>
          <w:u w:val="single"/>
        </w:rPr>
        <w:t>(指定地点)</w:t>
      </w:r>
      <w:r>
        <w:rPr>
          <w:rFonts w:hint="eastAsia" w:ascii="宋体" w:hAnsi="宋体" w:cs="仿宋"/>
          <w:sz w:val="24"/>
        </w:rPr>
        <w:t>与我方签订采购合同。</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特此通知。</w:t>
      </w:r>
    </w:p>
    <w:p>
      <w:pPr>
        <w:adjustRightInd w:val="0"/>
        <w:snapToGrid w:val="0"/>
        <w:spacing w:line="360" w:lineRule="auto"/>
        <w:ind w:firstLine="480" w:firstLineChars="200"/>
        <w:jc w:val="both"/>
        <w:rPr>
          <w:rFonts w:ascii="宋体" w:hAnsi="宋体" w:cs="仿宋"/>
          <w:sz w:val="24"/>
        </w:rPr>
      </w:pPr>
    </w:p>
    <w:p>
      <w:pPr>
        <w:adjustRightInd w:val="0"/>
        <w:snapToGrid w:val="0"/>
        <w:spacing w:line="360" w:lineRule="auto"/>
        <w:ind w:firstLine="480" w:firstLineChars="200"/>
        <w:jc w:val="both"/>
        <w:rPr>
          <w:rFonts w:ascii="宋体" w:hAnsi="宋体" w:cs="仿宋"/>
          <w:sz w:val="24"/>
        </w:rPr>
      </w:pPr>
    </w:p>
    <w:p>
      <w:pPr>
        <w:adjustRightInd w:val="0"/>
        <w:snapToGrid w:val="0"/>
        <w:spacing w:line="360" w:lineRule="auto"/>
        <w:ind w:firstLine="5090" w:firstLineChars="2121"/>
        <w:jc w:val="both"/>
        <w:rPr>
          <w:rFonts w:ascii="宋体" w:hAnsi="宋体" w:cs="仿宋"/>
          <w:sz w:val="24"/>
          <w:u w:val="single"/>
        </w:rPr>
      </w:pPr>
      <w:r>
        <w:rPr>
          <w:rFonts w:hint="eastAsia" w:ascii="宋体" w:hAnsi="宋体" w:cs="仿宋"/>
          <w:sz w:val="24"/>
        </w:rPr>
        <w:t>采购人(或采购代理机构):</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adjustRightInd w:val="0"/>
        <w:snapToGrid w:val="0"/>
        <w:spacing w:line="360" w:lineRule="auto"/>
        <w:ind w:firstLine="6240" w:firstLineChars="2600"/>
        <w:jc w:val="both"/>
        <w:rPr>
          <w:rFonts w:ascii="仿宋" w:hAnsi="仿宋" w:eastAsia="仿宋" w:cs="仿宋"/>
          <w:sz w:val="30"/>
          <w:szCs w:val="30"/>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日</w:t>
      </w:r>
      <w:r>
        <w:rPr>
          <w:rFonts w:hint="eastAsia" w:ascii="仿宋" w:hAnsi="仿宋" w:eastAsia="仿宋" w:cs="仿宋"/>
          <w:sz w:val="30"/>
          <w:szCs w:val="30"/>
        </w:rPr>
        <w:br w:type="page"/>
      </w:r>
    </w:p>
    <w:p>
      <w:pPr>
        <w:adjustRightInd w:val="0"/>
        <w:snapToGrid w:val="0"/>
        <w:spacing w:line="360" w:lineRule="auto"/>
        <w:ind w:firstLine="567" w:firstLineChars="189"/>
        <w:rPr>
          <w:rFonts w:ascii="宋体" w:hAnsi="宋体" w:cs="仿宋"/>
          <w:sz w:val="30"/>
          <w:szCs w:val="30"/>
        </w:rPr>
      </w:pPr>
      <w:r>
        <w:rPr>
          <w:rFonts w:hint="eastAsia" w:ascii="宋体" w:hAnsi="宋体" w:cs="仿宋"/>
          <w:sz w:val="30"/>
          <w:szCs w:val="30"/>
        </w:rPr>
        <w:t>附件5  确认通知</w:t>
      </w:r>
    </w:p>
    <w:p>
      <w:pPr>
        <w:adjustRightInd w:val="0"/>
        <w:snapToGrid w:val="0"/>
        <w:spacing w:line="360" w:lineRule="auto"/>
        <w:ind w:firstLine="723" w:firstLineChars="200"/>
        <w:jc w:val="both"/>
        <w:rPr>
          <w:rFonts w:ascii="华文中宋" w:hAnsi="华文中宋" w:eastAsia="华文中宋" w:cs="仿宋"/>
          <w:b/>
          <w:bCs/>
          <w:sz w:val="36"/>
          <w:szCs w:val="36"/>
        </w:rPr>
      </w:pPr>
    </w:p>
    <w:p>
      <w:pPr>
        <w:adjustRightInd w:val="0"/>
        <w:snapToGrid w:val="0"/>
        <w:spacing w:line="360" w:lineRule="auto"/>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确认通知</w:t>
      </w:r>
    </w:p>
    <w:p>
      <w:pPr>
        <w:adjustRightInd w:val="0"/>
        <w:snapToGrid w:val="0"/>
        <w:spacing w:line="360" w:lineRule="auto"/>
        <w:ind w:firstLine="723" w:firstLineChars="200"/>
        <w:jc w:val="both"/>
        <w:rPr>
          <w:rFonts w:ascii="华文中宋" w:hAnsi="华文中宋" w:eastAsia="华文中宋" w:cs="仿宋"/>
          <w:b/>
          <w:bCs/>
          <w:sz w:val="36"/>
          <w:szCs w:val="36"/>
        </w:rPr>
      </w:pPr>
    </w:p>
    <w:p>
      <w:pPr>
        <w:adjustRightInd w:val="0"/>
        <w:snapToGrid w:val="0"/>
        <w:spacing w:line="360" w:lineRule="auto"/>
        <w:ind w:firstLine="480" w:firstLineChars="200"/>
        <w:jc w:val="both"/>
        <w:rPr>
          <w:rFonts w:ascii="宋体" w:hAnsi="宋体" w:cs="仿宋"/>
          <w:b/>
          <w:bCs/>
          <w:sz w:val="24"/>
        </w:rPr>
      </w:pPr>
      <w:r>
        <w:rPr>
          <w:rFonts w:hint="eastAsia" w:ascii="宋体" w:hAnsi="宋体" w:cs="仿宋"/>
          <w:sz w:val="24"/>
          <w:u w:val="single"/>
        </w:rPr>
        <w:t xml:space="preserve">           （采购人或采购代理机构名称)</w:t>
      </w:r>
      <w:r>
        <w:rPr>
          <w:rFonts w:hint="eastAsia" w:ascii="宋体" w:hAnsi="宋体" w:cs="仿宋"/>
          <w:sz w:val="24"/>
        </w:rPr>
        <w:t>:</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你方于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日发出的的</w:t>
      </w:r>
      <w:r>
        <w:rPr>
          <w:rFonts w:hint="eastAsia" w:ascii="宋体" w:hAnsi="宋体" w:cs="仿宋"/>
          <w:sz w:val="24"/>
          <w:u w:val="single"/>
        </w:rPr>
        <w:t>(项目名称)</w:t>
      </w:r>
      <w:r>
        <w:rPr>
          <w:rFonts w:hint="eastAsia" w:ascii="宋体" w:hAnsi="宋体" w:cs="仿宋"/>
          <w:sz w:val="24"/>
        </w:rPr>
        <w:t>采购文件的澄清/修改的通知，我方已于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日收到。</w:t>
      </w:r>
    </w:p>
    <w:p>
      <w:pPr>
        <w:adjustRightInd w:val="0"/>
        <w:snapToGrid w:val="0"/>
        <w:spacing w:line="360" w:lineRule="auto"/>
        <w:ind w:firstLine="480" w:firstLineChars="200"/>
        <w:jc w:val="both"/>
        <w:rPr>
          <w:rFonts w:ascii="宋体" w:hAnsi="宋体" w:cs="仿宋"/>
          <w:sz w:val="24"/>
        </w:rPr>
      </w:pPr>
      <w:r>
        <w:rPr>
          <w:rFonts w:hint="eastAsia" w:ascii="宋体" w:hAnsi="宋体" w:cs="仿宋"/>
          <w:sz w:val="24"/>
        </w:rPr>
        <w:t>特此确认。</w:t>
      </w:r>
    </w:p>
    <w:p>
      <w:pPr>
        <w:adjustRightInd w:val="0"/>
        <w:snapToGrid w:val="0"/>
        <w:spacing w:line="360" w:lineRule="auto"/>
        <w:ind w:firstLine="480" w:firstLineChars="200"/>
        <w:jc w:val="both"/>
        <w:rPr>
          <w:rFonts w:ascii="宋体" w:hAnsi="宋体" w:cs="仿宋"/>
          <w:sz w:val="24"/>
        </w:rPr>
      </w:pPr>
    </w:p>
    <w:p>
      <w:pPr>
        <w:adjustRightInd w:val="0"/>
        <w:snapToGrid w:val="0"/>
        <w:spacing w:line="360" w:lineRule="auto"/>
        <w:ind w:firstLine="480" w:firstLineChars="200"/>
        <w:jc w:val="both"/>
        <w:rPr>
          <w:rFonts w:ascii="宋体" w:hAnsi="宋体" w:cs="仿宋"/>
          <w:sz w:val="24"/>
        </w:rPr>
      </w:pPr>
    </w:p>
    <w:p>
      <w:pPr>
        <w:adjustRightInd w:val="0"/>
        <w:snapToGrid w:val="0"/>
        <w:spacing w:line="360" w:lineRule="auto"/>
        <w:ind w:firstLine="5090" w:firstLineChars="2121"/>
        <w:jc w:val="both"/>
        <w:rPr>
          <w:rFonts w:ascii="宋体" w:hAnsi="宋体" w:cs="仿宋"/>
          <w:sz w:val="24"/>
          <w:u w:val="single"/>
        </w:rPr>
      </w:pPr>
      <w:r>
        <w:rPr>
          <w:rFonts w:hint="eastAsia" w:ascii="宋体" w:hAnsi="宋体" w:cs="仿宋"/>
          <w:sz w:val="24"/>
        </w:rPr>
        <w:t>供应商:</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pStyle w:val="75"/>
        <w:spacing w:line="360" w:lineRule="auto"/>
        <w:ind w:left="420" w:firstLine="5280" w:firstLineChars="2200"/>
        <w:jc w:val="both"/>
        <w:rPr>
          <w:rFonts w:cs="仿宋"/>
          <w:b/>
          <w:color w:val="000000"/>
        </w:rPr>
      </w:pP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年</w:t>
      </w: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月</w:t>
      </w: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日</w:t>
      </w:r>
    </w:p>
    <w:p>
      <w:pPr>
        <w:spacing w:line="360" w:lineRule="auto"/>
        <w:jc w:val="both"/>
        <w:rPr>
          <w:rFonts w:ascii="宋体" w:hAnsi="宋体" w:cs="仿宋"/>
          <w:b/>
          <w:color w:val="000000"/>
          <w:kern w:val="0"/>
          <w:sz w:val="24"/>
        </w:rPr>
      </w:pPr>
      <w:r>
        <w:rPr>
          <w:rFonts w:ascii="宋体" w:hAnsi="宋体" w:cs="仿宋"/>
          <w:b/>
          <w:color w:val="000000"/>
          <w:sz w:val="24"/>
        </w:rPr>
        <w:br w:type="page"/>
      </w:r>
    </w:p>
    <w:p>
      <w:pPr>
        <w:adjustRightInd w:val="0"/>
        <w:snapToGrid w:val="0"/>
        <w:spacing w:line="360" w:lineRule="auto"/>
        <w:jc w:val="center"/>
        <w:rPr>
          <w:rFonts w:ascii="黑体" w:hAnsi="黑体" w:eastAsia="黑体" w:cs="仿宋"/>
          <w:bCs/>
          <w:sz w:val="36"/>
          <w:szCs w:val="36"/>
        </w:rPr>
      </w:pPr>
      <w:r>
        <w:rPr>
          <w:rFonts w:hint="eastAsia" w:ascii="黑体" w:hAnsi="黑体" w:eastAsia="黑体" w:cs="仿宋"/>
          <w:bCs/>
          <w:sz w:val="36"/>
          <w:szCs w:val="36"/>
        </w:rPr>
        <w:t>第三章 评审办法</w:t>
      </w:r>
    </w:p>
    <w:p>
      <w:pPr>
        <w:adjustRightInd w:val="0"/>
        <w:snapToGrid w:val="0"/>
        <w:spacing w:before="156" w:beforeLines="50" w:after="156" w:afterLines="50" w:line="360" w:lineRule="auto"/>
        <w:jc w:val="center"/>
        <w:rPr>
          <w:rFonts w:ascii="黑体" w:hAnsi="黑体" w:eastAsia="黑体" w:cs="仿宋"/>
          <w:bCs/>
          <w:sz w:val="32"/>
          <w:szCs w:val="32"/>
        </w:rPr>
      </w:pPr>
      <w:r>
        <w:rPr>
          <w:rFonts w:hint="eastAsia" w:ascii="黑体" w:hAnsi="黑体" w:eastAsia="黑体" w:cs="仿宋"/>
          <w:bCs/>
          <w:sz w:val="32"/>
          <w:szCs w:val="32"/>
        </w:rPr>
        <w:t>评审办法前附表</w:t>
      </w:r>
    </w:p>
    <w:tbl>
      <w:tblPr>
        <w:tblStyle w:val="40"/>
        <w:tblW w:w="97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944"/>
        <w:gridCol w:w="2156"/>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39" w:type="dxa"/>
            <w:gridSpan w:val="2"/>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条款号及名称</w:t>
            </w:r>
          </w:p>
        </w:tc>
        <w:tc>
          <w:tcPr>
            <w:tcW w:w="2156"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评审因素</w:t>
            </w:r>
          </w:p>
        </w:tc>
        <w:tc>
          <w:tcPr>
            <w:tcW w:w="5676"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944"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评审方法</w:t>
            </w:r>
          </w:p>
        </w:tc>
        <w:tc>
          <w:tcPr>
            <w:tcW w:w="2156"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评审方法</w:t>
            </w:r>
          </w:p>
        </w:tc>
        <w:tc>
          <w:tcPr>
            <w:tcW w:w="5676" w:type="dxa"/>
          </w:tcPr>
          <w:p>
            <w:pPr>
              <w:widowControl/>
              <w:adjustRightInd w:val="0"/>
              <w:snapToGrid w:val="0"/>
              <w:spacing w:line="360" w:lineRule="auto"/>
              <w:jc w:val="both"/>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exact"/>
        </w:trPr>
        <w:tc>
          <w:tcPr>
            <w:tcW w:w="995" w:type="dxa"/>
            <w:vMerge w:val="restart"/>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2.1.1</w:t>
            </w:r>
          </w:p>
        </w:tc>
        <w:tc>
          <w:tcPr>
            <w:tcW w:w="944" w:type="dxa"/>
            <w:vMerge w:val="restart"/>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形式评审标准</w:t>
            </w:r>
          </w:p>
        </w:tc>
        <w:tc>
          <w:tcPr>
            <w:tcW w:w="2156"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供应商名称</w:t>
            </w:r>
          </w:p>
        </w:tc>
        <w:tc>
          <w:tcPr>
            <w:tcW w:w="5676" w:type="dxa"/>
          </w:tcPr>
          <w:p>
            <w:pPr>
              <w:widowControl w:val="0"/>
              <w:adjustRightInd w:val="0"/>
              <w:spacing w:line="360" w:lineRule="auto"/>
              <w:jc w:val="left"/>
              <w:textAlignment w:val="center"/>
              <w:rPr>
                <w:rFonts w:ascii="宋体" w:hAnsi="宋体"/>
                <w:color w:val="000000"/>
                <w:szCs w:val="21"/>
              </w:rPr>
            </w:pPr>
            <w:r>
              <w:rPr>
                <w:rFonts w:ascii="宋体" w:hAnsi="宋体"/>
                <w:color w:val="000000"/>
                <w:szCs w:val="21"/>
              </w:rPr>
              <w:t>1</w:t>
            </w:r>
            <w:r>
              <w:rPr>
                <w:rFonts w:hint="eastAsia" w:ascii="宋体" w:hAnsi="宋体"/>
                <w:color w:val="000000"/>
                <w:szCs w:val="21"/>
              </w:rPr>
              <w:t>.</w:t>
            </w:r>
            <w:r>
              <w:rPr>
                <w:rFonts w:ascii="宋体" w:hAnsi="宋体"/>
                <w:color w:val="000000"/>
                <w:szCs w:val="21"/>
              </w:rPr>
              <w:t>与营业执照、资质证书一致；</w:t>
            </w:r>
          </w:p>
          <w:p>
            <w:pPr>
              <w:widowControl/>
              <w:adjustRightInd w:val="0"/>
              <w:snapToGrid w:val="0"/>
              <w:spacing w:line="360" w:lineRule="auto"/>
              <w:jc w:val="both"/>
              <w:textAlignment w:val="center"/>
              <w:rPr>
                <w:rFonts w:cs="仿宋" w:asciiTheme="minorEastAsia" w:hAnsiTheme="minorEastAsia" w:eastAsiaTheme="minorEastAsia"/>
                <w:szCs w:val="21"/>
              </w:rPr>
            </w:pPr>
            <w:r>
              <w:rPr>
                <w:rFonts w:ascii="宋体" w:hAnsi="宋体"/>
                <w:color w:val="000000"/>
                <w:szCs w:val="21"/>
              </w:rPr>
              <w:t>2</w:t>
            </w:r>
            <w:r>
              <w:rPr>
                <w:rFonts w:hint="eastAsia" w:ascii="宋体" w:hAnsi="宋体"/>
                <w:color w:val="000000"/>
                <w:szCs w:val="21"/>
              </w:rPr>
              <w:t>.</w:t>
            </w:r>
            <w:r>
              <w:rPr>
                <w:rFonts w:ascii="宋体" w:hAnsi="宋体"/>
                <w:color w:val="000000"/>
                <w:szCs w:val="21"/>
              </w:rPr>
              <w:t>若法人名称发生变更，应提供相关部门的合法批件及企业法人营业执照和资质证书的副本变更记录复印件。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dxa"/>
            <w:vMerge w:val="continue"/>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p>
        </w:tc>
        <w:tc>
          <w:tcPr>
            <w:tcW w:w="944" w:type="dxa"/>
            <w:vMerge w:val="continue"/>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p>
        </w:tc>
        <w:tc>
          <w:tcPr>
            <w:tcW w:w="2156"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响应文件签字盖章</w:t>
            </w:r>
          </w:p>
        </w:tc>
        <w:tc>
          <w:tcPr>
            <w:tcW w:w="5676" w:type="dxa"/>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符合第二章第3.7.2项及第3.7.3项的规定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dxa"/>
            <w:vMerge w:val="continue"/>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p>
        </w:tc>
        <w:tc>
          <w:tcPr>
            <w:tcW w:w="944" w:type="dxa"/>
            <w:vMerge w:val="continue"/>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p>
        </w:tc>
        <w:tc>
          <w:tcPr>
            <w:tcW w:w="2156"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响应函中实质性内容</w:t>
            </w:r>
          </w:p>
        </w:tc>
        <w:tc>
          <w:tcPr>
            <w:tcW w:w="5676" w:type="dxa"/>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是否根据采购文件中的内容进行响应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5" w:type="dxa"/>
            <w:vMerge w:val="restart"/>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2.1.2</w:t>
            </w:r>
          </w:p>
        </w:tc>
        <w:tc>
          <w:tcPr>
            <w:tcW w:w="944" w:type="dxa"/>
            <w:vMerge w:val="restart"/>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资格评审标准</w:t>
            </w:r>
          </w:p>
        </w:tc>
        <w:tc>
          <w:tcPr>
            <w:tcW w:w="2156"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依法设立</w:t>
            </w:r>
          </w:p>
        </w:tc>
        <w:tc>
          <w:tcPr>
            <w:tcW w:w="5676" w:type="dxa"/>
          </w:tcPr>
          <w:p>
            <w:pPr>
              <w:widowControl/>
              <w:adjustRightInd w:val="0"/>
              <w:snapToGrid w:val="0"/>
              <w:spacing w:line="360" w:lineRule="auto"/>
              <w:jc w:val="both"/>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5" w:type="dxa"/>
            <w:vMerge w:val="continue"/>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p>
        </w:tc>
        <w:tc>
          <w:tcPr>
            <w:tcW w:w="944" w:type="dxa"/>
            <w:vMerge w:val="continue"/>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p>
        </w:tc>
        <w:tc>
          <w:tcPr>
            <w:tcW w:w="2156"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业绩要求</w:t>
            </w:r>
          </w:p>
        </w:tc>
        <w:tc>
          <w:tcPr>
            <w:tcW w:w="5676" w:type="dxa"/>
          </w:tcPr>
          <w:p>
            <w:pPr>
              <w:widowControl/>
              <w:adjustRightInd w:val="0"/>
              <w:snapToGrid w:val="0"/>
              <w:spacing w:line="360" w:lineRule="auto"/>
              <w:jc w:val="both"/>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5" w:type="dxa"/>
            <w:vMerge w:val="continue"/>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p>
        </w:tc>
        <w:tc>
          <w:tcPr>
            <w:tcW w:w="944" w:type="dxa"/>
            <w:vMerge w:val="continue"/>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p>
        </w:tc>
        <w:tc>
          <w:tcPr>
            <w:tcW w:w="2156"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信誉要求</w:t>
            </w:r>
          </w:p>
        </w:tc>
        <w:tc>
          <w:tcPr>
            <w:tcW w:w="5676" w:type="dxa"/>
          </w:tcPr>
          <w:p>
            <w:pPr>
              <w:widowControl/>
              <w:adjustRightInd w:val="0"/>
              <w:snapToGrid w:val="0"/>
              <w:spacing w:line="360" w:lineRule="auto"/>
              <w:jc w:val="both"/>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符合第一章第3.1款及供应商须知前附表第3.5（5）款规定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5" w:type="dxa"/>
            <w:vMerge w:val="restart"/>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2.1.3</w:t>
            </w:r>
          </w:p>
        </w:tc>
        <w:tc>
          <w:tcPr>
            <w:tcW w:w="944" w:type="dxa"/>
            <w:vMerge w:val="restart"/>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响应性评审标准</w:t>
            </w:r>
          </w:p>
        </w:tc>
        <w:tc>
          <w:tcPr>
            <w:tcW w:w="2156"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报价</w:t>
            </w:r>
          </w:p>
        </w:tc>
        <w:tc>
          <w:tcPr>
            <w:tcW w:w="5676" w:type="dxa"/>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dxa"/>
            <w:vMerge w:val="continue"/>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p>
        </w:tc>
        <w:tc>
          <w:tcPr>
            <w:tcW w:w="944" w:type="dxa"/>
            <w:vMerge w:val="continue"/>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p>
        </w:tc>
        <w:tc>
          <w:tcPr>
            <w:tcW w:w="2156"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响应文件有效期</w:t>
            </w:r>
          </w:p>
        </w:tc>
        <w:tc>
          <w:tcPr>
            <w:tcW w:w="5676" w:type="dxa"/>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5" w:type="dxa"/>
            <w:vMerge w:val="continue"/>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p>
        </w:tc>
        <w:tc>
          <w:tcPr>
            <w:tcW w:w="944" w:type="dxa"/>
            <w:vMerge w:val="continue"/>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p>
        </w:tc>
        <w:tc>
          <w:tcPr>
            <w:tcW w:w="2156"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响应方案</w:t>
            </w:r>
          </w:p>
        </w:tc>
        <w:tc>
          <w:tcPr>
            <w:tcW w:w="5676" w:type="dxa"/>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5" w:type="dxa"/>
            <w:vMerge w:val="continue"/>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p>
        </w:tc>
        <w:tc>
          <w:tcPr>
            <w:tcW w:w="944" w:type="dxa"/>
            <w:vMerge w:val="continue"/>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p>
        </w:tc>
        <w:tc>
          <w:tcPr>
            <w:tcW w:w="2156"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质量标准</w:t>
            </w:r>
          </w:p>
        </w:tc>
        <w:tc>
          <w:tcPr>
            <w:tcW w:w="5676" w:type="dxa"/>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5" w:type="dxa"/>
            <w:vMerge w:val="continue"/>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p>
        </w:tc>
        <w:tc>
          <w:tcPr>
            <w:tcW w:w="944" w:type="dxa"/>
            <w:vMerge w:val="continue"/>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p>
        </w:tc>
        <w:tc>
          <w:tcPr>
            <w:tcW w:w="2156"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完成期限</w:t>
            </w:r>
          </w:p>
        </w:tc>
        <w:tc>
          <w:tcPr>
            <w:tcW w:w="5676" w:type="dxa"/>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5" w:type="dxa"/>
            <w:vMerge w:val="continue"/>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p>
        </w:tc>
        <w:tc>
          <w:tcPr>
            <w:tcW w:w="944" w:type="dxa"/>
            <w:vMerge w:val="continue"/>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p>
        </w:tc>
        <w:tc>
          <w:tcPr>
            <w:tcW w:w="2156"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合同条款</w:t>
            </w:r>
          </w:p>
        </w:tc>
        <w:tc>
          <w:tcPr>
            <w:tcW w:w="5676" w:type="dxa"/>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符合第二章第1.10.1项规定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dxa"/>
            <w:vMerge w:val="continue"/>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p>
        </w:tc>
        <w:tc>
          <w:tcPr>
            <w:tcW w:w="944" w:type="dxa"/>
            <w:vMerge w:val="continue"/>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p>
        </w:tc>
        <w:tc>
          <w:tcPr>
            <w:tcW w:w="2156"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对非关键条款的偏差</w:t>
            </w:r>
          </w:p>
        </w:tc>
        <w:tc>
          <w:tcPr>
            <w:tcW w:w="5676" w:type="dxa"/>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偏差范围和偏差项数符合第二章第1.10.2项的规定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95"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2.2.2</w:t>
            </w:r>
          </w:p>
        </w:tc>
        <w:tc>
          <w:tcPr>
            <w:tcW w:w="3100" w:type="dxa"/>
            <w:gridSpan w:val="2"/>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评审价格</w:t>
            </w:r>
          </w:p>
        </w:tc>
        <w:tc>
          <w:tcPr>
            <w:tcW w:w="5676" w:type="dxa"/>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含税价格。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71" w:type="dxa"/>
            <w:gridSpan w:val="4"/>
          </w:tcPr>
          <w:p>
            <w:pPr>
              <w:widowControl/>
              <w:adjustRightInd w:val="0"/>
              <w:snapToGrid w:val="0"/>
              <w:spacing w:line="360" w:lineRule="auto"/>
              <w:jc w:val="both"/>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3 详细评审标准和程序（综合评分法）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9" w:type="dxa"/>
            <w:gridSpan w:val="2"/>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3.1</w:t>
            </w:r>
          </w:p>
        </w:tc>
        <w:tc>
          <w:tcPr>
            <w:tcW w:w="2156"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分值构成</w:t>
            </w:r>
          </w:p>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（总分100分）</w:t>
            </w:r>
          </w:p>
        </w:tc>
        <w:tc>
          <w:tcPr>
            <w:tcW w:w="5676" w:type="dxa"/>
          </w:tcPr>
          <w:p>
            <w:pPr>
              <w:widowControl/>
              <w:numPr>
                <w:ilvl w:val="0"/>
                <w:numId w:val="3"/>
              </w:numPr>
              <w:adjustRightInd w:val="0"/>
              <w:snapToGrid w:val="0"/>
              <w:spacing w:line="360" w:lineRule="auto"/>
              <w:jc w:val="both"/>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商务部分：</w:t>
            </w:r>
            <w:r>
              <w:rPr>
                <w:rFonts w:hint="eastAsia" w:cs="仿宋" w:asciiTheme="minorEastAsia" w:hAnsiTheme="minorEastAsia" w:eastAsiaTheme="minorEastAsia"/>
                <w:szCs w:val="21"/>
                <w:u w:val="single"/>
              </w:rPr>
              <w:t xml:space="preserve"> 20 </w:t>
            </w:r>
            <w:r>
              <w:rPr>
                <w:rFonts w:hint="eastAsia" w:cs="仿宋" w:asciiTheme="minorEastAsia" w:hAnsiTheme="minorEastAsia" w:eastAsiaTheme="minorEastAsia"/>
                <w:szCs w:val="21"/>
              </w:rPr>
              <w:t>分</w:t>
            </w:r>
          </w:p>
          <w:p>
            <w:pPr>
              <w:widowControl/>
              <w:numPr>
                <w:ilvl w:val="0"/>
                <w:numId w:val="3"/>
              </w:numPr>
              <w:adjustRightInd w:val="0"/>
              <w:snapToGrid w:val="0"/>
              <w:spacing w:line="360" w:lineRule="auto"/>
              <w:jc w:val="both"/>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技术部分：</w:t>
            </w:r>
            <w:r>
              <w:rPr>
                <w:rFonts w:hint="eastAsia" w:cs="仿宋" w:asciiTheme="minorEastAsia" w:hAnsiTheme="minorEastAsia" w:eastAsiaTheme="minorEastAsia"/>
                <w:szCs w:val="21"/>
                <w:u w:val="single"/>
              </w:rPr>
              <w:t xml:space="preserve"> 30 </w:t>
            </w:r>
            <w:r>
              <w:rPr>
                <w:rFonts w:hint="eastAsia" w:cs="仿宋" w:asciiTheme="minorEastAsia" w:hAnsiTheme="minorEastAsia" w:eastAsiaTheme="minorEastAsia"/>
                <w:szCs w:val="21"/>
              </w:rPr>
              <w:t>分</w:t>
            </w:r>
          </w:p>
          <w:p>
            <w:pPr>
              <w:widowControl/>
              <w:numPr>
                <w:ilvl w:val="0"/>
                <w:numId w:val="3"/>
              </w:numPr>
              <w:adjustRightInd w:val="0"/>
              <w:snapToGrid w:val="0"/>
              <w:spacing w:line="360" w:lineRule="auto"/>
              <w:jc w:val="both"/>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报价部分：</w:t>
            </w:r>
            <w:r>
              <w:rPr>
                <w:rFonts w:hint="eastAsia" w:cs="仿宋" w:asciiTheme="minorEastAsia" w:hAnsiTheme="minorEastAsia" w:eastAsiaTheme="minorEastAsia"/>
                <w:szCs w:val="21"/>
                <w:u w:val="single"/>
              </w:rPr>
              <w:t xml:space="preserve"> 50 </w:t>
            </w:r>
            <w:r>
              <w:rPr>
                <w:rFonts w:hint="eastAsia" w:cs="仿宋" w:asciiTheme="minorEastAsia" w:hAnsiTheme="minorEastAsia" w:eastAsia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9" w:type="dxa"/>
            <w:gridSpan w:val="2"/>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3.2（2）</w:t>
            </w:r>
          </w:p>
        </w:tc>
        <w:tc>
          <w:tcPr>
            <w:tcW w:w="2156"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评审基准价计算方法</w:t>
            </w:r>
          </w:p>
        </w:tc>
        <w:tc>
          <w:tcPr>
            <w:tcW w:w="5676" w:type="dxa"/>
          </w:tcPr>
          <w:p>
            <w:pPr>
              <w:widowControl w:val="0"/>
              <w:spacing w:line="312" w:lineRule="auto"/>
              <w:ind w:firstLine="539" w:firstLineChars="245"/>
              <w:jc w:val="both"/>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A、当有效投标报价为5家以上时，评标基准价计算方法为：评标基准价=[有效投标人同等条件下的报价之和-最高价-最低价]/（有效投标单位数-2）</w:t>
            </w:r>
          </w:p>
          <w:p>
            <w:pPr>
              <w:widowControl w:val="0"/>
              <w:spacing w:line="312" w:lineRule="auto"/>
              <w:ind w:firstLine="539" w:firstLineChars="245"/>
              <w:jc w:val="both"/>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B、当有效投标报价为5家或5家以下时，评标基准价计算方法为：评标基准价=有效投标人报价之和/有效投标单位数</w:t>
            </w:r>
          </w:p>
          <w:p>
            <w:pPr>
              <w:widowControl/>
              <w:adjustRightInd w:val="0"/>
              <w:snapToGrid w:val="0"/>
              <w:spacing w:line="360" w:lineRule="auto"/>
              <w:ind w:firstLine="420" w:firstLineChars="200"/>
              <w:jc w:val="both"/>
              <w:textAlignment w:val="center"/>
              <w:rPr>
                <w:rFonts w:cs="仿宋" w:asciiTheme="minorEastAsia" w:hAnsiTheme="minorEastAsia" w:eastAsiaTheme="minorEastAsia"/>
                <w:szCs w:val="21"/>
              </w:rPr>
            </w:pPr>
            <w:r>
              <w:rPr>
                <w:rFonts w:hint="eastAsia" w:asciiTheme="minorEastAsia" w:hAnsiTheme="minorEastAsia" w:eastAsiaTheme="minorEastAsia"/>
                <w:szCs w:val="21"/>
              </w:rPr>
              <w:t>报价分为满分</w:t>
            </w:r>
            <w:r>
              <w:rPr>
                <w:rFonts w:hint="eastAsia" w:asciiTheme="minorEastAsia" w:hAnsiTheme="minorEastAsia" w:eastAsiaTheme="minorEastAsia"/>
                <w:szCs w:val="21"/>
                <w:u w:val="single"/>
              </w:rPr>
              <w:t>50</w:t>
            </w:r>
            <w:r>
              <w:rPr>
                <w:rFonts w:hint="eastAsia" w:asciiTheme="minorEastAsia" w:hAnsiTheme="minorEastAsia" w:eastAsia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5"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条款号</w:t>
            </w:r>
          </w:p>
        </w:tc>
        <w:tc>
          <w:tcPr>
            <w:tcW w:w="3100" w:type="dxa"/>
            <w:gridSpan w:val="2"/>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评分因素</w:t>
            </w:r>
          </w:p>
        </w:tc>
        <w:tc>
          <w:tcPr>
            <w:tcW w:w="5676"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5"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3.3（1）</w:t>
            </w:r>
          </w:p>
        </w:tc>
        <w:tc>
          <w:tcPr>
            <w:tcW w:w="3100" w:type="dxa"/>
            <w:gridSpan w:val="2"/>
            <w:vAlign w:val="center"/>
          </w:tcPr>
          <w:p>
            <w:pPr>
              <w:widowControl w:val="0"/>
              <w:adjustRightInd w:val="0"/>
              <w:snapToGrid w:val="0"/>
              <w:spacing w:line="360" w:lineRule="auto"/>
              <w:jc w:val="center"/>
              <w:textAlignment w:val="center"/>
              <w:rPr>
                <w:rFonts w:ascii="宋体" w:hAnsi="宋体"/>
                <w:szCs w:val="21"/>
              </w:rPr>
            </w:pPr>
            <w:r>
              <w:rPr>
                <w:rFonts w:hint="eastAsia" w:ascii="宋体" w:hAnsi="宋体"/>
                <w:szCs w:val="21"/>
              </w:rPr>
              <w:t>商务部分评分标准</w:t>
            </w:r>
          </w:p>
        </w:tc>
        <w:tc>
          <w:tcPr>
            <w:tcW w:w="5676" w:type="dxa"/>
            <w:vAlign w:val="center"/>
          </w:tcPr>
          <w:p>
            <w:pPr>
              <w:widowControl w:val="0"/>
              <w:adjustRightInd w:val="0"/>
              <w:snapToGrid w:val="0"/>
              <w:spacing w:line="360" w:lineRule="auto"/>
              <w:jc w:val="center"/>
              <w:textAlignment w:val="center"/>
              <w:rPr>
                <w:rFonts w:ascii="宋体" w:hAnsi="宋体"/>
                <w:szCs w:val="21"/>
              </w:rPr>
            </w:pPr>
            <w:r>
              <w:rPr>
                <w:rFonts w:hint="eastAsia" w:ascii="宋体" w:hAnsi="宋体"/>
                <w:szCs w:val="21"/>
              </w:rPr>
              <w:t>详见本章</w:t>
            </w:r>
            <w:r>
              <w:rPr>
                <w:rFonts w:hint="eastAsia" w:ascii="宋体" w:hAnsi="宋体"/>
                <w:b/>
                <w:szCs w:val="21"/>
              </w:rPr>
              <w:t>附表1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95"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3.3（2）</w:t>
            </w:r>
          </w:p>
        </w:tc>
        <w:tc>
          <w:tcPr>
            <w:tcW w:w="3100" w:type="dxa"/>
            <w:gridSpan w:val="2"/>
            <w:vAlign w:val="center"/>
          </w:tcPr>
          <w:p>
            <w:pPr>
              <w:widowControl w:val="0"/>
              <w:adjustRightInd w:val="0"/>
              <w:snapToGrid w:val="0"/>
              <w:spacing w:line="360" w:lineRule="auto"/>
              <w:jc w:val="center"/>
              <w:textAlignment w:val="center"/>
              <w:rPr>
                <w:rFonts w:ascii="宋体" w:hAnsi="宋体"/>
                <w:szCs w:val="21"/>
              </w:rPr>
            </w:pPr>
            <w:r>
              <w:rPr>
                <w:rFonts w:hint="eastAsia" w:ascii="宋体" w:hAnsi="宋体"/>
                <w:szCs w:val="21"/>
              </w:rPr>
              <w:t>技术部分评分标准</w:t>
            </w:r>
          </w:p>
        </w:tc>
        <w:tc>
          <w:tcPr>
            <w:tcW w:w="5676" w:type="dxa"/>
            <w:vAlign w:val="center"/>
          </w:tcPr>
          <w:p>
            <w:pPr>
              <w:widowControl w:val="0"/>
              <w:adjustRightInd w:val="0"/>
              <w:snapToGrid w:val="0"/>
              <w:spacing w:line="360" w:lineRule="auto"/>
              <w:jc w:val="center"/>
              <w:textAlignment w:val="center"/>
              <w:rPr>
                <w:rFonts w:ascii="宋体" w:hAnsi="宋体"/>
                <w:szCs w:val="21"/>
              </w:rPr>
            </w:pPr>
            <w:r>
              <w:rPr>
                <w:rFonts w:hint="eastAsia" w:ascii="宋体" w:hAnsi="宋体"/>
                <w:szCs w:val="21"/>
              </w:rPr>
              <w:t>详见本章</w:t>
            </w:r>
            <w:r>
              <w:rPr>
                <w:rFonts w:hint="eastAsia" w:ascii="宋体" w:hAnsi="宋体"/>
                <w:b/>
                <w:szCs w:val="21"/>
              </w:rPr>
              <w:t>附表2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995" w:type="dxa"/>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cs="仿宋" w:asciiTheme="minorEastAsia" w:hAnsiTheme="minorEastAsia" w:eastAsiaTheme="minorEastAsia"/>
                <w:szCs w:val="21"/>
              </w:rPr>
              <w:t>3.3（3）</w:t>
            </w:r>
          </w:p>
        </w:tc>
        <w:tc>
          <w:tcPr>
            <w:tcW w:w="3100" w:type="dxa"/>
            <w:gridSpan w:val="2"/>
            <w:vAlign w:val="center"/>
          </w:tcPr>
          <w:p>
            <w:pPr>
              <w:widowControl/>
              <w:adjustRightInd w:val="0"/>
              <w:snapToGrid w:val="0"/>
              <w:spacing w:line="360" w:lineRule="auto"/>
              <w:jc w:val="center"/>
              <w:textAlignment w:val="center"/>
              <w:rPr>
                <w:rFonts w:cs="仿宋" w:asciiTheme="minorEastAsia" w:hAnsiTheme="minorEastAsia" w:eastAsiaTheme="minorEastAsia"/>
                <w:szCs w:val="21"/>
              </w:rPr>
            </w:pPr>
            <w:r>
              <w:rPr>
                <w:rFonts w:hint="eastAsia" w:ascii="宋体" w:hAnsi="宋体"/>
                <w:szCs w:val="21"/>
              </w:rPr>
              <w:t>报价评分标准</w:t>
            </w:r>
          </w:p>
        </w:tc>
        <w:tc>
          <w:tcPr>
            <w:tcW w:w="5676" w:type="dxa"/>
            <w:vAlign w:val="center"/>
          </w:tcPr>
          <w:p>
            <w:pPr>
              <w:widowControl/>
              <w:adjustRightInd w:val="0"/>
              <w:snapToGrid w:val="0"/>
              <w:spacing w:line="360" w:lineRule="auto"/>
              <w:jc w:val="center"/>
              <w:textAlignment w:val="center"/>
              <w:rPr>
                <w:rFonts w:hint="eastAsia" w:eastAsia="宋体" w:cs="仿宋" w:asciiTheme="minorEastAsia" w:hAnsiTheme="minorEastAsia"/>
                <w:szCs w:val="21"/>
                <w:lang w:val="en-US" w:eastAsia="zh-CN"/>
              </w:rPr>
            </w:pPr>
            <w:r>
              <w:rPr>
                <w:rFonts w:hint="eastAsia" w:ascii="宋体" w:hAnsi="宋体"/>
                <w:szCs w:val="21"/>
              </w:rPr>
              <w:t>详见本章</w:t>
            </w:r>
            <w:r>
              <w:rPr>
                <w:rFonts w:hint="eastAsia" w:ascii="宋体" w:hAnsi="宋体"/>
                <w:b/>
                <w:szCs w:val="21"/>
              </w:rPr>
              <w:t>附表</w:t>
            </w:r>
            <w:r>
              <w:rPr>
                <w:rFonts w:hint="eastAsia" w:ascii="宋体" w:hAnsi="宋体"/>
                <w:b/>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95" w:type="dxa"/>
            <w:vAlign w:val="center"/>
          </w:tcPr>
          <w:p>
            <w:pPr>
              <w:widowControl w:val="0"/>
              <w:adjustRightInd w:val="0"/>
              <w:snapToGrid w:val="0"/>
              <w:spacing w:line="360" w:lineRule="auto"/>
              <w:jc w:val="center"/>
              <w:textAlignment w:val="center"/>
              <w:rPr>
                <w:rFonts w:asciiTheme="minorEastAsia" w:hAnsiTheme="minorEastAsia" w:eastAsiaTheme="minorEastAsia"/>
                <w:szCs w:val="21"/>
              </w:rPr>
            </w:pPr>
            <w:r>
              <w:rPr>
                <w:rFonts w:hint="eastAsia" w:asciiTheme="minorEastAsia" w:hAnsiTheme="minorEastAsia" w:eastAsiaTheme="minorEastAsia"/>
                <w:szCs w:val="21"/>
              </w:rPr>
              <w:t>3.4.1</w:t>
            </w:r>
          </w:p>
        </w:tc>
        <w:tc>
          <w:tcPr>
            <w:tcW w:w="3100" w:type="dxa"/>
            <w:gridSpan w:val="2"/>
            <w:vAlign w:val="center"/>
          </w:tcPr>
          <w:p>
            <w:pPr>
              <w:widowControl w:val="0"/>
              <w:adjustRightInd w:val="0"/>
              <w:snapToGrid w:val="0"/>
              <w:spacing w:line="360" w:lineRule="auto"/>
              <w:jc w:val="center"/>
              <w:textAlignment w:val="center"/>
              <w:rPr>
                <w:rFonts w:asciiTheme="minorEastAsia" w:hAnsiTheme="minorEastAsia" w:eastAsiaTheme="minorEastAsia"/>
                <w:szCs w:val="21"/>
              </w:rPr>
            </w:pPr>
            <w:r>
              <w:rPr>
                <w:rFonts w:hint="eastAsia" w:asciiTheme="minorEastAsia" w:hAnsiTheme="minorEastAsia" w:eastAsiaTheme="minorEastAsia"/>
                <w:szCs w:val="21"/>
              </w:rPr>
              <w:t>供应商最终得分的计算方法</w:t>
            </w:r>
          </w:p>
        </w:tc>
        <w:tc>
          <w:tcPr>
            <w:tcW w:w="5676" w:type="dxa"/>
            <w:vAlign w:val="center"/>
          </w:tcPr>
          <w:p>
            <w:pPr>
              <w:widowControl w:val="0"/>
              <w:adjustRightInd w:val="0"/>
              <w:snapToGrid w:val="0"/>
              <w:spacing w:line="360" w:lineRule="auto"/>
              <w:jc w:val="left"/>
              <w:textAlignment w:val="center"/>
              <w:rPr>
                <w:rFonts w:asciiTheme="minorEastAsia" w:hAnsiTheme="minorEastAsia" w:eastAsiaTheme="minorEastAsia"/>
                <w:szCs w:val="21"/>
              </w:rPr>
            </w:pPr>
            <w:r>
              <w:rPr>
                <w:rFonts w:hint="eastAsia" w:asciiTheme="minorEastAsia" w:hAnsiTheme="minorEastAsia" w:eastAsiaTheme="minorEastAsia"/>
                <w:szCs w:val="21"/>
              </w:rPr>
              <w:t>供应商最终得分为商务部分、技术部分、投标报价3个方面评价得分之和。</w:t>
            </w:r>
          </w:p>
        </w:tc>
      </w:tr>
    </w:tbl>
    <w:p>
      <w:pPr>
        <w:spacing w:line="360" w:lineRule="auto"/>
        <w:jc w:val="both"/>
        <w:rPr>
          <w:rFonts w:ascii="宋体" w:hAnsi="宋体" w:cs="仿宋"/>
          <w:sz w:val="24"/>
        </w:rPr>
      </w:pPr>
      <w:r>
        <w:rPr>
          <w:rFonts w:hint="eastAsia" w:ascii="宋体" w:hAnsi="宋体" w:cs="仿宋"/>
          <w:sz w:val="24"/>
        </w:rPr>
        <w:br w:type="page"/>
      </w:r>
    </w:p>
    <w:p>
      <w:pPr>
        <w:adjustRightInd w:val="0"/>
        <w:snapToGrid w:val="0"/>
        <w:spacing w:line="360" w:lineRule="auto"/>
        <w:jc w:val="center"/>
        <w:rPr>
          <w:rFonts w:ascii="宋体" w:hAnsi="宋体" w:cs="仿宋"/>
          <w:b/>
          <w:bCs/>
          <w:sz w:val="36"/>
          <w:szCs w:val="36"/>
        </w:rPr>
      </w:pPr>
      <w:r>
        <w:rPr>
          <w:rFonts w:hint="eastAsia" w:ascii="宋体" w:hAnsi="宋体" w:cs="仿宋"/>
          <w:b/>
          <w:bCs/>
          <w:sz w:val="36"/>
          <w:szCs w:val="36"/>
        </w:rPr>
        <w:t>评审办法正文</w:t>
      </w:r>
    </w:p>
    <w:p>
      <w:pPr>
        <w:adjustRightInd w:val="0"/>
        <w:snapToGrid w:val="0"/>
        <w:spacing w:line="360" w:lineRule="auto"/>
        <w:jc w:val="both"/>
        <w:rPr>
          <w:rFonts w:ascii="宋体" w:hAnsi="宋体" w:cs="仿宋"/>
          <w:b/>
          <w:bCs/>
          <w:sz w:val="36"/>
          <w:szCs w:val="36"/>
        </w:rPr>
      </w:pPr>
    </w:p>
    <w:p>
      <w:pPr>
        <w:adjustRightInd w:val="0"/>
        <w:snapToGrid w:val="0"/>
        <w:spacing w:line="360" w:lineRule="auto"/>
        <w:jc w:val="both"/>
        <w:rPr>
          <w:rFonts w:ascii="宋体" w:hAnsi="宋体" w:cs="仿宋"/>
          <w:b/>
          <w:bCs/>
          <w:sz w:val="24"/>
        </w:rPr>
      </w:pPr>
      <w:r>
        <w:rPr>
          <w:rFonts w:hint="eastAsia" w:ascii="宋体" w:hAnsi="宋体" w:cs="仿宋"/>
          <w:b/>
          <w:bCs/>
          <w:sz w:val="24"/>
        </w:rPr>
        <w:t>1评审方法(综合评分法)</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本次评审采用综合评分法。评审小组对满足采购文件实质性要求的响应文件，按照本章第3条规定的评分标准进行打分，并按得分由高到低的顺序推荐成交候选供应商。</w:t>
      </w:r>
    </w:p>
    <w:p>
      <w:pPr>
        <w:adjustRightInd w:val="0"/>
        <w:snapToGrid w:val="0"/>
        <w:spacing w:line="360" w:lineRule="auto"/>
        <w:jc w:val="both"/>
        <w:rPr>
          <w:rFonts w:ascii="宋体" w:hAnsi="宋体" w:cs="仿宋"/>
          <w:b/>
          <w:bCs/>
          <w:sz w:val="24"/>
        </w:rPr>
      </w:pPr>
      <w:r>
        <w:rPr>
          <w:rFonts w:hint="eastAsia" w:ascii="宋体" w:hAnsi="宋体" w:cs="仿宋"/>
          <w:b/>
          <w:bCs/>
          <w:sz w:val="24"/>
        </w:rPr>
        <w:t>2初步评审标准和程序</w:t>
      </w:r>
    </w:p>
    <w:p>
      <w:pPr>
        <w:adjustRightInd w:val="0"/>
        <w:snapToGrid w:val="0"/>
        <w:spacing w:line="360" w:lineRule="auto"/>
        <w:jc w:val="both"/>
        <w:rPr>
          <w:rFonts w:ascii="宋体" w:hAnsi="宋体" w:cs="仿宋"/>
          <w:b/>
          <w:bCs/>
          <w:sz w:val="24"/>
        </w:rPr>
      </w:pPr>
      <w:r>
        <w:rPr>
          <w:rFonts w:hint="eastAsia" w:ascii="宋体" w:hAnsi="宋体" w:cs="仿宋"/>
          <w:b/>
          <w:bCs/>
          <w:sz w:val="24"/>
        </w:rPr>
        <w:t>2.1初步评审标准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2.1.1形式评审标准:见评审办法前附表。</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2.1.2资格评审标准:见评审办法前附表。</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2.1.3响应性评审标准:见评审办法前附表。</w:t>
      </w:r>
    </w:p>
    <w:p>
      <w:pPr>
        <w:adjustRightInd w:val="0"/>
        <w:snapToGrid w:val="0"/>
        <w:spacing w:line="360" w:lineRule="auto"/>
        <w:jc w:val="both"/>
        <w:rPr>
          <w:rFonts w:ascii="宋体" w:hAnsi="宋体" w:cs="仿宋"/>
          <w:b/>
          <w:bCs/>
          <w:sz w:val="24"/>
        </w:rPr>
      </w:pPr>
      <w:r>
        <w:rPr>
          <w:rFonts w:hint="eastAsia" w:ascii="宋体" w:hAnsi="宋体" w:cs="仿宋"/>
          <w:b/>
          <w:bCs/>
          <w:sz w:val="24"/>
        </w:rPr>
        <w:t>2.2初步评审程序</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2.2.1评审小组依据本章第2.1款规定的标准对供应商速交的响应文件进行初步评审，判断响应文件的形式是否符合要求，供应商是否符合资格条件，响应文件是否实质性响应采购文件的要求。只有以上评审合格的响应文件才可通过初步评审。</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2.2.2除评审办法前附表另有规定外，评审价格为供应商在响应函中填报的大写含税价格。</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评审价格若超过最高限价(如有)，其响应文件将被视为无效。</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2.2.3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响应报价有算术错误及其他错误的，评审小组按以下原则要求供应商对响应报价进行修正，并要求供应商书面澄清确认。供应商拒不澄清确认的，其响应文件将被视为无效:</w:t>
      </w:r>
    </w:p>
    <w:p>
      <w:pPr>
        <w:tabs>
          <w:tab w:val="left" w:pos="312"/>
        </w:tabs>
        <w:adjustRightInd w:val="0"/>
        <w:snapToGrid w:val="0"/>
        <w:spacing w:line="360" w:lineRule="auto"/>
        <w:ind w:firstLine="453" w:firstLineChars="189"/>
        <w:jc w:val="both"/>
        <w:rPr>
          <w:rFonts w:ascii="宋体" w:hAnsi="宋体" w:cs="仿宋"/>
          <w:sz w:val="24"/>
        </w:rPr>
      </w:pPr>
      <w:r>
        <w:rPr>
          <w:rFonts w:hint="eastAsia" w:ascii="宋体" w:hAnsi="宋体" w:cs="仿宋"/>
          <w:sz w:val="24"/>
        </w:rPr>
        <w:t>(1)大写金额与小写金额不一致的，以大写金额为准;</w:t>
      </w:r>
    </w:p>
    <w:p>
      <w:pPr>
        <w:tabs>
          <w:tab w:val="left" w:pos="312"/>
        </w:tabs>
        <w:adjustRightInd w:val="0"/>
        <w:snapToGrid w:val="0"/>
        <w:spacing w:line="360" w:lineRule="auto"/>
        <w:ind w:firstLine="453" w:firstLineChars="189"/>
        <w:jc w:val="both"/>
        <w:rPr>
          <w:rFonts w:ascii="宋体" w:hAnsi="宋体" w:cs="仿宋"/>
          <w:sz w:val="24"/>
        </w:rPr>
      </w:pPr>
      <w:r>
        <w:rPr>
          <w:rFonts w:hint="eastAsia" w:ascii="宋体" w:hAnsi="宋体" w:cs="仿宋"/>
          <w:sz w:val="24"/>
        </w:rPr>
        <w:t>(2)总价金额与单价金额不一致的，以单价金额为准，但单价金额小数点有明显错误的除外;</w:t>
      </w:r>
    </w:p>
    <w:p>
      <w:pPr>
        <w:tabs>
          <w:tab w:val="left" w:pos="312"/>
        </w:tabs>
        <w:adjustRightInd w:val="0"/>
        <w:snapToGrid w:val="0"/>
        <w:spacing w:line="360" w:lineRule="auto"/>
        <w:ind w:firstLine="453" w:firstLineChars="189"/>
        <w:jc w:val="both"/>
        <w:rPr>
          <w:rFonts w:ascii="宋体" w:hAnsi="宋体" w:cs="仿宋"/>
          <w:sz w:val="24"/>
        </w:rPr>
      </w:pPr>
      <w:r>
        <w:rPr>
          <w:rFonts w:hint="eastAsia" w:ascii="宋体" w:hAnsi="宋体" w:cs="仿宋"/>
          <w:sz w:val="24"/>
        </w:rPr>
        <w:t>(3)报价表合计报价与分项报价的合计不一致的，以各分项报价的合价累计数为准;</w:t>
      </w:r>
    </w:p>
    <w:p>
      <w:pPr>
        <w:tabs>
          <w:tab w:val="left" w:pos="312"/>
        </w:tabs>
        <w:adjustRightInd w:val="0"/>
        <w:snapToGrid w:val="0"/>
        <w:spacing w:line="360" w:lineRule="auto"/>
        <w:ind w:firstLine="453" w:firstLineChars="189"/>
        <w:jc w:val="both"/>
        <w:rPr>
          <w:rFonts w:ascii="宋体" w:hAnsi="宋体" w:cs="仿宋"/>
          <w:sz w:val="24"/>
        </w:rPr>
      </w:pPr>
      <w:r>
        <w:rPr>
          <w:rFonts w:hint="eastAsia" w:ascii="宋体" w:hAnsi="宋体" w:cs="仿宋"/>
          <w:sz w:val="24"/>
        </w:rPr>
        <w:t>(4)如果分项报价中存在缺漏项，且缺漏项内容不属于实质性偏差的，则视为缺漏项内容的价格已包含在其他分项报价之中。</w:t>
      </w:r>
    </w:p>
    <w:p>
      <w:pPr>
        <w:tabs>
          <w:tab w:val="left" w:pos="312"/>
        </w:tabs>
        <w:adjustRightInd w:val="0"/>
        <w:snapToGrid w:val="0"/>
        <w:spacing w:line="360" w:lineRule="auto"/>
        <w:ind w:firstLine="453" w:firstLineChars="189"/>
        <w:jc w:val="both"/>
        <w:rPr>
          <w:rFonts w:ascii="宋体" w:hAnsi="宋体" w:cs="仿宋"/>
          <w:sz w:val="24"/>
        </w:rPr>
      </w:pPr>
      <w:r>
        <w:rPr>
          <w:rFonts w:hint="eastAsia" w:ascii="宋体" w:hAnsi="宋体" w:cs="仿宋"/>
          <w:sz w:val="24"/>
        </w:rPr>
        <w:t>(5)响应报价的算术错误修正不改变评审依据的响应总报价。当修正后的总报价高于原响应报价时，视同供应商响应报价错误产生少漏计费用，签订合同时由供应商承担，如评审小组认为供应商无法承受少漏计费用，可以将响应报价作为异常低价处理；当修正后的总报价低于原响应报价时，签订合同时以修正后的报价为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2.2.4供应商有串通，弄虚作假、行贿等违法行为的，其响应文件将被视为无效。</w:t>
      </w:r>
    </w:p>
    <w:p>
      <w:pPr>
        <w:adjustRightInd w:val="0"/>
        <w:snapToGrid w:val="0"/>
        <w:spacing w:line="360" w:lineRule="auto"/>
        <w:jc w:val="both"/>
        <w:rPr>
          <w:rFonts w:ascii="宋体" w:hAnsi="宋体" w:cs="仿宋"/>
          <w:sz w:val="24"/>
        </w:rPr>
      </w:pPr>
      <w:r>
        <w:rPr>
          <w:rFonts w:hint="eastAsia" w:ascii="宋体" w:hAnsi="宋体" w:cs="仿宋"/>
          <w:b/>
          <w:bCs/>
          <w:sz w:val="24"/>
        </w:rPr>
        <w:t>3详细评审标准和程序(综合评分法)</w:t>
      </w:r>
    </w:p>
    <w:p>
      <w:pPr>
        <w:adjustRightInd w:val="0"/>
        <w:snapToGrid w:val="0"/>
        <w:spacing w:line="360" w:lineRule="auto"/>
        <w:jc w:val="both"/>
        <w:rPr>
          <w:rFonts w:ascii="宋体" w:hAnsi="宋体" w:cs="仿宋"/>
          <w:b/>
          <w:bCs/>
          <w:sz w:val="24"/>
        </w:rPr>
      </w:pPr>
      <w:r>
        <w:rPr>
          <w:rFonts w:hint="eastAsia" w:ascii="宋体" w:hAnsi="宋体" w:cs="仿宋"/>
          <w:b/>
          <w:bCs/>
          <w:sz w:val="24"/>
        </w:rPr>
        <w:t>3.1分值构成</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(1)商务部分:见评审办法前附表;</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(2)技术部分:见评审办法前附表;</w:t>
      </w:r>
    </w:p>
    <w:p>
      <w:pPr>
        <w:adjustRightInd w:val="0"/>
        <w:snapToGrid w:val="0"/>
        <w:spacing w:line="360" w:lineRule="auto"/>
        <w:ind w:firstLine="321" w:firstLineChars="134"/>
        <w:jc w:val="both"/>
        <w:rPr>
          <w:rFonts w:ascii="宋体" w:hAnsi="宋体" w:cs="仿宋"/>
          <w:sz w:val="24"/>
        </w:rPr>
      </w:pPr>
      <w:r>
        <w:rPr>
          <w:rFonts w:hint="eastAsia" w:ascii="宋体" w:hAnsi="宋体" w:cs="仿宋"/>
          <w:sz w:val="24"/>
        </w:rPr>
        <w:t xml:space="preserve"> (3)报价:见评审办法前附表;</w:t>
      </w:r>
    </w:p>
    <w:p>
      <w:pPr>
        <w:adjustRightInd w:val="0"/>
        <w:snapToGrid w:val="0"/>
        <w:spacing w:line="360" w:lineRule="auto"/>
        <w:jc w:val="both"/>
        <w:rPr>
          <w:rFonts w:ascii="宋体" w:hAnsi="宋体" w:cs="仿宋"/>
          <w:b/>
          <w:bCs/>
          <w:sz w:val="24"/>
        </w:rPr>
      </w:pPr>
      <w:r>
        <w:rPr>
          <w:rFonts w:hint="eastAsia" w:ascii="宋体" w:hAnsi="宋体" w:cs="仿宋"/>
          <w:b/>
          <w:bCs/>
          <w:sz w:val="24"/>
        </w:rPr>
        <w:t>3.2评分标准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(1)商务评分标准:见评审办法前附表;</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(2)技术评分标准:见评审办法前附表;</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(3)报价评分标准: 见评审办法前附表;</w:t>
      </w:r>
    </w:p>
    <w:p>
      <w:pPr>
        <w:adjustRightInd w:val="0"/>
        <w:snapToGrid w:val="0"/>
        <w:spacing w:line="360" w:lineRule="auto"/>
        <w:jc w:val="both"/>
        <w:rPr>
          <w:rFonts w:ascii="宋体" w:hAnsi="宋体" w:cs="仿宋"/>
          <w:b/>
          <w:bCs/>
          <w:sz w:val="24"/>
        </w:rPr>
      </w:pPr>
      <w:r>
        <w:rPr>
          <w:rFonts w:hint="eastAsia" w:ascii="宋体" w:hAnsi="宋体" w:cs="仿宋"/>
          <w:b/>
          <w:bCs/>
          <w:sz w:val="24"/>
        </w:rPr>
        <w:t>3.3评分</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小组成员按照评分标准独立对供应商的商务、技术和其他因素进行评分。报价评分由评审小组统一计算。各项得分汇总后为该成员给供应商的评分总分，评分值计算保留小数点后两位，小数点后第三位“四舍五入”。</w:t>
      </w:r>
    </w:p>
    <w:p>
      <w:pPr>
        <w:adjustRightInd w:val="0"/>
        <w:snapToGrid w:val="0"/>
        <w:spacing w:line="360" w:lineRule="auto"/>
        <w:jc w:val="both"/>
        <w:rPr>
          <w:rFonts w:ascii="宋体" w:hAnsi="宋体" w:cs="仿宋"/>
          <w:sz w:val="24"/>
        </w:rPr>
      </w:pPr>
      <w:r>
        <w:rPr>
          <w:rFonts w:hint="eastAsia" w:ascii="宋体" w:hAnsi="宋体" w:cs="仿宋"/>
          <w:b/>
          <w:bCs/>
          <w:sz w:val="24"/>
        </w:rPr>
        <w:t>3.4汇总</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评审小组汇总每个成员对供应商的评分总分，每个供应商的评分总分的算术平均值为供应商最终得分。</w:t>
      </w:r>
    </w:p>
    <w:p>
      <w:pPr>
        <w:adjustRightInd w:val="0"/>
        <w:snapToGrid w:val="0"/>
        <w:spacing w:line="360" w:lineRule="auto"/>
        <w:jc w:val="both"/>
        <w:rPr>
          <w:rFonts w:ascii="宋体" w:hAnsi="宋体" w:cs="仿宋"/>
          <w:b/>
          <w:bCs/>
          <w:sz w:val="24"/>
        </w:rPr>
      </w:pPr>
      <w:r>
        <w:rPr>
          <w:rFonts w:hint="eastAsia" w:ascii="宋体" w:hAnsi="宋体" w:cs="仿宋"/>
          <w:b/>
          <w:bCs/>
          <w:sz w:val="24"/>
        </w:rPr>
        <w:t>3.5排序</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小组对供应商最终得分进行比较后，可以按照供应商最终得分由高到低的顺序对供应商排序。最终得分相等时，以评审价格低的优先;评审价格也相等的，以技术得分高的优先;如果技术得分也相等，按照评审办法前附表的规定确定供应商优先顺序。</w:t>
      </w:r>
    </w:p>
    <w:p>
      <w:pPr>
        <w:adjustRightInd w:val="0"/>
        <w:snapToGrid w:val="0"/>
        <w:spacing w:line="360" w:lineRule="auto"/>
        <w:jc w:val="both"/>
        <w:rPr>
          <w:rFonts w:ascii="宋体" w:hAnsi="宋体" w:cs="仿宋"/>
          <w:b/>
          <w:bCs/>
          <w:sz w:val="24"/>
        </w:rPr>
      </w:pPr>
      <w:r>
        <w:rPr>
          <w:rFonts w:hint="eastAsia" w:ascii="宋体" w:hAnsi="宋体" w:cs="仿宋"/>
          <w:b/>
          <w:bCs/>
          <w:sz w:val="24"/>
        </w:rPr>
        <w:t>4评审结果</w:t>
      </w:r>
    </w:p>
    <w:p>
      <w:pPr>
        <w:adjustRightInd w:val="0"/>
        <w:snapToGrid w:val="0"/>
        <w:spacing w:line="360" w:lineRule="auto"/>
        <w:jc w:val="both"/>
        <w:rPr>
          <w:rFonts w:ascii="宋体" w:hAnsi="宋体" w:cs="仿宋"/>
          <w:b/>
          <w:bCs/>
          <w:sz w:val="24"/>
        </w:rPr>
      </w:pPr>
      <w:r>
        <w:rPr>
          <w:rFonts w:hint="eastAsia" w:ascii="宋体" w:hAnsi="宋体" w:cs="仿宋"/>
          <w:b/>
          <w:bCs/>
          <w:sz w:val="24"/>
        </w:rPr>
        <w:t>4.1提交书面评审报告</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评审小组完成评审后，应当向采购人提交书面评审报告。</w:t>
      </w:r>
    </w:p>
    <w:p>
      <w:pPr>
        <w:adjustRightInd w:val="0"/>
        <w:snapToGrid w:val="0"/>
        <w:spacing w:line="360" w:lineRule="auto"/>
        <w:jc w:val="both"/>
        <w:rPr>
          <w:rFonts w:ascii="宋体" w:hAnsi="宋体" w:cs="仿宋"/>
          <w:b/>
          <w:bCs/>
          <w:sz w:val="24"/>
        </w:rPr>
      </w:pPr>
      <w:r>
        <w:rPr>
          <w:rFonts w:hint="eastAsia" w:ascii="宋体" w:hAnsi="宋体" w:cs="仿宋"/>
          <w:b/>
          <w:bCs/>
          <w:sz w:val="24"/>
        </w:rPr>
        <w:t>4.2推荐成交候选供应商排序要求及数量</w:t>
      </w:r>
    </w:p>
    <w:p>
      <w:pPr>
        <w:adjustRightInd w:val="0"/>
        <w:snapToGrid w:val="0"/>
        <w:spacing w:line="360" w:lineRule="auto"/>
        <w:ind w:firstLine="453" w:firstLineChars="189"/>
        <w:jc w:val="both"/>
        <w:rPr>
          <w:rFonts w:ascii="宋体" w:hAnsi="宋体" w:cs="仿宋"/>
          <w:sz w:val="24"/>
        </w:rPr>
      </w:pPr>
      <w:r>
        <w:rPr>
          <w:rFonts w:hint="eastAsia" w:ascii="宋体" w:hAnsi="宋体" w:cs="仿宋"/>
          <w:sz w:val="24"/>
        </w:rPr>
        <w:t>评审小组应在书面评审报告中按照供应商排列的优先顺序向采购人推荐成交候选供应商(排序或不排序)。成交候选供应商的排序要求及数量见第二章“供应商须知”。</w:t>
      </w:r>
    </w:p>
    <w:p>
      <w:pPr>
        <w:widowControl w:val="0"/>
        <w:snapToGrid w:val="0"/>
        <w:spacing w:line="360" w:lineRule="auto"/>
        <w:jc w:val="center"/>
        <w:outlineLvl w:val="0"/>
        <w:rPr>
          <w:rFonts w:ascii="黑体" w:hAnsi="黑体" w:eastAsia="黑体" w:cs="宋体"/>
          <w:kern w:val="44"/>
          <w:sz w:val="32"/>
          <w:szCs w:val="32"/>
        </w:rPr>
      </w:pPr>
    </w:p>
    <w:p>
      <w:pPr>
        <w:widowControl w:val="0"/>
        <w:snapToGrid w:val="0"/>
        <w:spacing w:line="360" w:lineRule="auto"/>
        <w:jc w:val="center"/>
        <w:outlineLvl w:val="0"/>
        <w:rPr>
          <w:rFonts w:ascii="黑体" w:hAnsi="黑体" w:eastAsia="黑体" w:cs="宋体"/>
          <w:kern w:val="44"/>
          <w:sz w:val="32"/>
          <w:szCs w:val="32"/>
        </w:rPr>
      </w:pPr>
    </w:p>
    <w:p>
      <w:pPr>
        <w:widowControl w:val="0"/>
        <w:snapToGrid w:val="0"/>
        <w:spacing w:line="360" w:lineRule="auto"/>
        <w:jc w:val="center"/>
        <w:outlineLvl w:val="0"/>
        <w:rPr>
          <w:rFonts w:ascii="黑体" w:hAnsi="黑体" w:eastAsia="黑体" w:cs="宋体"/>
          <w:kern w:val="44"/>
          <w:sz w:val="32"/>
          <w:szCs w:val="32"/>
        </w:rPr>
      </w:pPr>
    </w:p>
    <w:p>
      <w:pPr>
        <w:widowControl w:val="0"/>
        <w:snapToGrid w:val="0"/>
        <w:spacing w:line="360" w:lineRule="auto"/>
        <w:jc w:val="center"/>
        <w:outlineLvl w:val="0"/>
        <w:rPr>
          <w:rFonts w:ascii="黑体" w:hAnsi="黑体" w:eastAsia="黑体" w:cs="宋体"/>
          <w:kern w:val="44"/>
          <w:sz w:val="32"/>
          <w:szCs w:val="32"/>
        </w:rPr>
      </w:pPr>
    </w:p>
    <w:p>
      <w:pPr>
        <w:widowControl w:val="0"/>
        <w:snapToGrid w:val="0"/>
        <w:spacing w:line="360" w:lineRule="auto"/>
        <w:jc w:val="center"/>
        <w:outlineLvl w:val="0"/>
        <w:rPr>
          <w:rFonts w:ascii="黑体" w:hAnsi="黑体" w:eastAsia="黑体" w:cs="宋体"/>
          <w:kern w:val="44"/>
          <w:sz w:val="32"/>
          <w:szCs w:val="32"/>
        </w:rPr>
      </w:pPr>
    </w:p>
    <w:p>
      <w:pPr>
        <w:widowControl w:val="0"/>
        <w:snapToGrid w:val="0"/>
        <w:spacing w:line="360" w:lineRule="auto"/>
        <w:jc w:val="center"/>
        <w:outlineLvl w:val="0"/>
        <w:rPr>
          <w:rFonts w:ascii="黑体" w:hAnsi="黑体" w:eastAsia="黑体" w:cs="宋体"/>
          <w:kern w:val="44"/>
          <w:sz w:val="32"/>
          <w:szCs w:val="32"/>
        </w:rPr>
      </w:pPr>
    </w:p>
    <w:p>
      <w:pPr>
        <w:widowControl w:val="0"/>
        <w:snapToGrid w:val="0"/>
        <w:spacing w:line="360" w:lineRule="auto"/>
        <w:jc w:val="center"/>
        <w:outlineLvl w:val="0"/>
        <w:rPr>
          <w:rFonts w:ascii="黑体" w:hAnsi="黑体" w:eastAsia="黑体" w:cs="宋体"/>
          <w:kern w:val="44"/>
          <w:sz w:val="32"/>
          <w:szCs w:val="32"/>
        </w:rPr>
      </w:pPr>
    </w:p>
    <w:p>
      <w:pPr>
        <w:widowControl w:val="0"/>
        <w:snapToGrid w:val="0"/>
        <w:spacing w:line="360" w:lineRule="auto"/>
        <w:jc w:val="center"/>
        <w:outlineLvl w:val="0"/>
        <w:rPr>
          <w:rFonts w:ascii="黑体" w:hAnsi="黑体" w:eastAsia="黑体" w:cs="宋体"/>
          <w:kern w:val="44"/>
          <w:sz w:val="32"/>
          <w:szCs w:val="32"/>
        </w:rPr>
      </w:pPr>
    </w:p>
    <w:p>
      <w:pPr>
        <w:widowControl w:val="0"/>
        <w:snapToGrid w:val="0"/>
        <w:spacing w:line="360" w:lineRule="auto"/>
        <w:jc w:val="center"/>
        <w:outlineLvl w:val="0"/>
        <w:rPr>
          <w:rFonts w:ascii="黑体" w:hAnsi="黑体" w:eastAsia="黑体" w:cs="宋体"/>
          <w:kern w:val="44"/>
          <w:sz w:val="32"/>
          <w:szCs w:val="32"/>
        </w:rPr>
      </w:pPr>
    </w:p>
    <w:p>
      <w:pPr>
        <w:pStyle w:val="15"/>
        <w:rPr>
          <w:rFonts w:ascii="黑体" w:hAnsi="黑体" w:eastAsia="黑体" w:cs="宋体"/>
          <w:kern w:val="44"/>
          <w:sz w:val="32"/>
          <w:szCs w:val="32"/>
        </w:rPr>
      </w:pPr>
    </w:p>
    <w:p>
      <w:pPr>
        <w:pStyle w:val="16"/>
        <w:rPr>
          <w:kern w:val="44"/>
          <w:sz w:val="32"/>
          <w:szCs w:val="32"/>
        </w:rPr>
      </w:pPr>
    </w:p>
    <w:p>
      <w:pPr>
        <w:pStyle w:val="16"/>
        <w:rPr>
          <w:kern w:val="44"/>
          <w:sz w:val="32"/>
          <w:szCs w:val="32"/>
        </w:rPr>
      </w:pPr>
    </w:p>
    <w:p>
      <w:pPr>
        <w:pStyle w:val="16"/>
        <w:rPr>
          <w:kern w:val="44"/>
          <w:sz w:val="32"/>
          <w:szCs w:val="32"/>
        </w:rPr>
      </w:pPr>
    </w:p>
    <w:p>
      <w:pPr>
        <w:pStyle w:val="16"/>
        <w:rPr>
          <w:kern w:val="44"/>
          <w:sz w:val="32"/>
          <w:szCs w:val="32"/>
        </w:rPr>
      </w:pPr>
    </w:p>
    <w:p>
      <w:pPr>
        <w:pStyle w:val="16"/>
        <w:rPr>
          <w:kern w:val="44"/>
          <w:sz w:val="32"/>
          <w:szCs w:val="32"/>
        </w:rPr>
      </w:pPr>
    </w:p>
    <w:p>
      <w:pPr>
        <w:pStyle w:val="16"/>
        <w:rPr>
          <w:kern w:val="44"/>
          <w:sz w:val="32"/>
          <w:szCs w:val="32"/>
        </w:rPr>
      </w:pPr>
    </w:p>
    <w:p>
      <w:pPr>
        <w:pStyle w:val="16"/>
        <w:rPr>
          <w:kern w:val="44"/>
          <w:sz w:val="32"/>
          <w:szCs w:val="32"/>
        </w:rPr>
      </w:pPr>
    </w:p>
    <w:p>
      <w:pPr>
        <w:pStyle w:val="16"/>
        <w:rPr>
          <w:kern w:val="44"/>
          <w:sz w:val="32"/>
          <w:szCs w:val="32"/>
        </w:rPr>
      </w:pPr>
    </w:p>
    <w:p>
      <w:pPr>
        <w:widowControl w:val="0"/>
        <w:snapToGrid w:val="0"/>
        <w:spacing w:line="360" w:lineRule="auto"/>
        <w:jc w:val="both"/>
        <w:outlineLvl w:val="0"/>
        <w:rPr>
          <w:rFonts w:ascii="黑体" w:hAnsi="黑体" w:eastAsia="黑体" w:cs="宋体"/>
          <w:kern w:val="44"/>
          <w:sz w:val="32"/>
          <w:szCs w:val="32"/>
        </w:rPr>
      </w:pPr>
    </w:p>
    <w:p>
      <w:pPr>
        <w:widowControl w:val="0"/>
        <w:snapToGrid w:val="0"/>
        <w:spacing w:line="360" w:lineRule="auto"/>
        <w:jc w:val="both"/>
        <w:outlineLvl w:val="0"/>
        <w:rPr>
          <w:rFonts w:ascii="黑体" w:hAnsi="黑体" w:eastAsia="黑体" w:cs="宋体"/>
          <w:kern w:val="44"/>
          <w:sz w:val="32"/>
          <w:szCs w:val="32"/>
        </w:rPr>
      </w:pPr>
      <w:r>
        <w:rPr>
          <w:rFonts w:hint="eastAsia" w:ascii="黑体" w:hAnsi="黑体" w:eastAsia="黑体" w:cs="宋体"/>
          <w:kern w:val="44"/>
          <w:sz w:val="32"/>
          <w:szCs w:val="32"/>
        </w:rPr>
        <w:t xml:space="preserve">附表1  </w:t>
      </w:r>
    </w:p>
    <w:p>
      <w:pPr>
        <w:widowControl w:val="0"/>
        <w:snapToGrid w:val="0"/>
        <w:spacing w:line="360" w:lineRule="auto"/>
        <w:jc w:val="center"/>
        <w:outlineLvl w:val="0"/>
        <w:rPr>
          <w:rFonts w:ascii="黑体" w:hAnsi="黑体" w:eastAsia="黑体" w:cs="宋体"/>
          <w:kern w:val="44"/>
          <w:sz w:val="32"/>
          <w:szCs w:val="32"/>
        </w:rPr>
      </w:pPr>
      <w:r>
        <w:rPr>
          <w:rFonts w:hint="eastAsia" w:ascii="黑体" w:hAnsi="黑体" w:eastAsia="黑体" w:cs="宋体"/>
          <w:kern w:val="44"/>
          <w:sz w:val="32"/>
          <w:szCs w:val="32"/>
        </w:rPr>
        <w:t>商务部分评分表</w:t>
      </w:r>
    </w:p>
    <w:p>
      <w:pPr>
        <w:snapToGrid w:val="0"/>
        <w:spacing w:line="360" w:lineRule="auto"/>
        <w:jc w:val="both"/>
        <w:rPr>
          <w:rFonts w:ascii="宋体" w:hAnsi="宋体"/>
          <w:sz w:val="24"/>
          <w:u w:val="single"/>
        </w:rPr>
      </w:pPr>
      <w:r>
        <w:rPr>
          <w:rFonts w:hint="eastAsia" w:ascii="宋体" w:hAnsi="宋体"/>
          <w:sz w:val="24"/>
        </w:rPr>
        <w:t>项目名称：</w:t>
      </w:r>
      <w:r>
        <w:rPr>
          <w:rFonts w:hint="eastAsia" w:ascii="宋体" w:hAnsi="宋体" w:cs="宋体"/>
          <w:bCs/>
          <w:sz w:val="24"/>
          <w:u w:val="single"/>
        </w:rPr>
        <w:t>岳阳城陵矶港务有限责任公司</w:t>
      </w:r>
      <w:r>
        <w:rPr>
          <w:rFonts w:hint="eastAsia" w:ascii="宋体" w:hAnsi="宋体" w:cs="宋体"/>
          <w:bCs/>
          <w:kern w:val="0"/>
          <w:sz w:val="24"/>
          <w:u w:val="single"/>
        </w:rPr>
        <w:t>超融合服务器采购</w:t>
      </w:r>
    </w:p>
    <w:tbl>
      <w:tblPr>
        <w:tblStyle w:val="39"/>
        <w:tblW w:w="9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1233"/>
        <w:gridCol w:w="6247"/>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452" w:type="dxa"/>
            <w:tcBorders>
              <w:top w:val="single" w:color="auto" w:sz="4" w:space="0"/>
              <w:left w:val="single" w:color="auto" w:sz="4" w:space="0"/>
              <w:right w:val="single" w:color="auto" w:sz="4" w:space="0"/>
            </w:tcBorders>
            <w:vAlign w:val="center"/>
          </w:tcPr>
          <w:p>
            <w:pPr>
              <w:widowControl w:val="0"/>
              <w:spacing w:line="360" w:lineRule="auto"/>
              <w:jc w:val="center"/>
              <w:rPr>
                <w:rFonts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序号</w:t>
            </w:r>
          </w:p>
        </w:tc>
        <w:tc>
          <w:tcPr>
            <w:tcW w:w="1233" w:type="dxa"/>
            <w:tcBorders>
              <w:top w:val="single" w:color="auto" w:sz="4" w:space="0"/>
              <w:left w:val="single" w:color="auto" w:sz="4" w:space="0"/>
              <w:right w:val="single" w:color="auto" w:sz="4" w:space="0"/>
            </w:tcBorders>
            <w:vAlign w:val="center"/>
          </w:tcPr>
          <w:p>
            <w:pPr>
              <w:widowControl w:val="0"/>
              <w:spacing w:line="360" w:lineRule="auto"/>
              <w:jc w:val="center"/>
              <w:rPr>
                <w:rFonts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评分因素</w:t>
            </w:r>
          </w:p>
        </w:tc>
        <w:tc>
          <w:tcPr>
            <w:tcW w:w="6247" w:type="dxa"/>
            <w:tcBorders>
              <w:top w:val="single" w:color="auto" w:sz="4" w:space="0"/>
              <w:left w:val="single" w:color="auto" w:sz="4" w:space="0"/>
              <w:right w:val="single" w:color="auto" w:sz="4" w:space="0"/>
            </w:tcBorders>
            <w:vAlign w:val="center"/>
          </w:tcPr>
          <w:p>
            <w:pPr>
              <w:widowControl w:val="0"/>
              <w:spacing w:line="360" w:lineRule="auto"/>
              <w:jc w:val="center"/>
              <w:rPr>
                <w:rFonts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评价内容/分值</w:t>
            </w:r>
          </w:p>
        </w:tc>
        <w:tc>
          <w:tcPr>
            <w:tcW w:w="1406" w:type="dxa"/>
            <w:tcBorders>
              <w:top w:val="single" w:color="auto" w:sz="4" w:space="0"/>
              <w:left w:val="single" w:color="auto" w:sz="4" w:space="0"/>
              <w:right w:val="single" w:color="auto" w:sz="4" w:space="0"/>
            </w:tcBorders>
            <w:vAlign w:val="center"/>
          </w:tcPr>
          <w:p>
            <w:pPr>
              <w:widowControl w:val="0"/>
              <w:spacing w:line="360" w:lineRule="auto"/>
              <w:jc w:val="center"/>
              <w:rPr>
                <w:rFonts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供应商名称/得分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5" w:hRule="atLeast"/>
          <w:jc w:val="center"/>
        </w:trPr>
        <w:tc>
          <w:tcPr>
            <w:tcW w:w="452"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1</w:t>
            </w:r>
          </w:p>
        </w:tc>
        <w:tc>
          <w:tcPr>
            <w:tcW w:w="12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企业类似项目业绩</w:t>
            </w:r>
          </w:p>
          <w:p>
            <w:pPr>
              <w:spacing w:line="360" w:lineRule="auto"/>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（5分）</w:t>
            </w:r>
          </w:p>
        </w:tc>
        <w:tc>
          <w:tcPr>
            <w:tcW w:w="6247" w:type="dxa"/>
            <w:tcBorders>
              <w:top w:val="single" w:color="auto" w:sz="4" w:space="0"/>
              <w:left w:val="single" w:color="auto" w:sz="4" w:space="0"/>
              <w:bottom w:val="single" w:color="auto" w:sz="4" w:space="0"/>
              <w:right w:val="single" w:color="auto" w:sz="4" w:space="0"/>
            </w:tcBorders>
            <w:vAlign w:val="center"/>
          </w:tcPr>
          <w:p>
            <w:pPr>
              <w:tabs>
                <w:tab w:val="left" w:pos="3423"/>
              </w:tabs>
              <w:spacing w:line="400" w:lineRule="exact"/>
              <w:rPr>
                <w:color w:val="000000" w:themeColor="text1"/>
                <w14:textFill>
                  <w14:solidFill>
                    <w14:schemeClr w14:val="tx1"/>
                  </w14:solidFill>
                </w14:textFill>
              </w:rPr>
            </w:pPr>
            <w:bookmarkStart w:id="10" w:name="_Hlk69547296"/>
            <w:r>
              <w:rPr>
                <w:rFonts w:hint="eastAsia"/>
              </w:rPr>
              <w:t>（1）单个合同金额</w:t>
            </w:r>
            <w:r>
              <w:rPr>
                <w:rFonts w:hint="eastAsia"/>
                <w:lang w:val="en-US" w:eastAsia="zh-CN"/>
              </w:rPr>
              <w:t>在</w:t>
            </w:r>
            <w:r>
              <w:rPr>
                <w:rFonts w:hint="eastAsia"/>
              </w:rPr>
              <w:t>50万</w:t>
            </w:r>
            <w:r>
              <w:rPr>
                <w:rFonts w:hint="eastAsia"/>
                <w:color w:val="000000" w:themeColor="text1"/>
                <w:lang w:val="en-US" w:eastAsia="zh-CN"/>
                <w14:textFill>
                  <w14:solidFill>
                    <w14:schemeClr w14:val="tx1"/>
                  </w14:solidFill>
                </w14:textFill>
              </w:rPr>
              <w:t>元以上</w:t>
            </w:r>
            <w:r>
              <w:rPr>
                <w:rFonts w:hint="eastAsia"/>
                <w:color w:val="000000" w:themeColor="text1"/>
                <w14:textFill>
                  <w14:solidFill>
                    <w14:schemeClr w14:val="tx1"/>
                  </w14:solidFill>
                </w14:textFill>
              </w:rPr>
              <w:t>，200万元</w:t>
            </w:r>
            <w:r>
              <w:rPr>
                <w:rFonts w:hint="eastAsia"/>
                <w:color w:val="000000" w:themeColor="text1"/>
                <w:lang w:val="en-US" w:eastAsia="zh-CN"/>
                <w14:textFill>
                  <w14:solidFill>
                    <w14:schemeClr w14:val="tx1"/>
                  </w14:solidFill>
                </w14:textFill>
              </w:rPr>
              <w:t>以下</w:t>
            </w:r>
            <w:r>
              <w:rPr>
                <w:rFonts w:hint="eastAsia"/>
                <w:color w:val="000000" w:themeColor="text1"/>
                <w14:textFill>
                  <w14:solidFill>
                    <w14:schemeClr w14:val="tx1"/>
                  </w14:solidFill>
                </w14:textFill>
              </w:rPr>
              <w:t>的计算机系统集成项目业绩</w:t>
            </w:r>
            <w:bookmarkEnd w:id="10"/>
            <w:r>
              <w:rPr>
                <w:rFonts w:hint="eastAsia"/>
                <w:color w:val="000000" w:themeColor="text1"/>
                <w14:textFill>
                  <w14:solidFill>
                    <w14:schemeClr w14:val="tx1"/>
                  </w14:solidFill>
                </w14:textFill>
              </w:rPr>
              <w:t>。每1份合同得1分，最高得2分。</w:t>
            </w:r>
          </w:p>
          <w:p>
            <w:pPr>
              <w:tabs>
                <w:tab w:val="left" w:pos="3423"/>
              </w:tabs>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（2）单个合同金额200万元以上（含）的计算机系统集成项目业绩，得3分，最高3分。</w:t>
            </w:r>
          </w:p>
          <w:p>
            <w:pPr>
              <w:tabs>
                <w:tab w:val="left" w:pos="3423"/>
              </w:tabs>
              <w:spacing w:line="400" w:lineRule="exact"/>
            </w:pPr>
            <w:r>
              <w:rPr>
                <w:rFonts w:hint="eastAsia"/>
              </w:rPr>
              <w:t>注：</w:t>
            </w:r>
          </w:p>
          <w:p>
            <w:pPr>
              <w:tabs>
                <w:tab w:val="left" w:pos="3423"/>
              </w:tabs>
              <w:spacing w:line="400" w:lineRule="exact"/>
            </w:pPr>
            <w:r>
              <w:rPr>
                <w:rFonts w:hint="eastAsia"/>
              </w:rPr>
              <w:t>1、报价人提供</w:t>
            </w:r>
            <w:r>
              <w:rPr>
                <w:rFonts w:hint="eastAsia"/>
                <w:color w:val="000000" w:themeColor="text1"/>
                <w14:textFill>
                  <w14:solidFill>
                    <w14:schemeClr w14:val="tx1"/>
                  </w14:solidFill>
                </w14:textFill>
              </w:rPr>
              <w:t>自2020年1</w:t>
            </w:r>
            <w:r>
              <w:rPr>
                <w:rFonts w:hint="eastAsia"/>
              </w:rPr>
              <w:t>月1日至今的类似业绩证明（以合同签订时间为准）</w:t>
            </w:r>
          </w:p>
          <w:p>
            <w:pPr>
              <w:tabs>
                <w:tab w:val="left" w:pos="3423"/>
              </w:tabs>
              <w:spacing w:line="400" w:lineRule="exact"/>
            </w:pPr>
            <w:r>
              <w:rPr>
                <w:rFonts w:hint="eastAsia"/>
              </w:rPr>
              <w:t>2、需提供合同协议书扫描件或复印件作为得分依据，供应商对合同的真实性负责。</w:t>
            </w:r>
          </w:p>
        </w:tc>
        <w:tc>
          <w:tcPr>
            <w:tcW w:w="1406"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Theme="minorEastAsia" w:hAnsiTheme="minorEastAsia" w:eastAsiaTheme="minorEastAsia" w:cstheme="minorEastAsia"/>
                <w:sz w:val="22"/>
                <w:szCs w:val="22"/>
              </w:rPr>
            </w:pPr>
          </w:p>
          <w:p>
            <w:pPr>
              <w:pStyle w:val="15"/>
              <w:rPr>
                <w:rFonts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7" w:hRule="atLeast"/>
          <w:jc w:val="center"/>
        </w:trPr>
        <w:tc>
          <w:tcPr>
            <w:tcW w:w="452" w:type="dxa"/>
            <w:tcBorders>
              <w:top w:val="single" w:color="auto" w:sz="4" w:space="0"/>
              <w:left w:val="single" w:color="auto" w:sz="4" w:space="0"/>
              <w:right w:val="single" w:color="auto" w:sz="4" w:space="0"/>
            </w:tcBorders>
            <w:vAlign w:val="center"/>
          </w:tcPr>
          <w:p>
            <w:pPr>
              <w:widowControl w:val="0"/>
              <w:spacing w:line="360" w:lineRule="auto"/>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2</w:t>
            </w:r>
          </w:p>
        </w:tc>
        <w:tc>
          <w:tcPr>
            <w:tcW w:w="1233" w:type="dxa"/>
            <w:tcBorders>
              <w:top w:val="single" w:color="auto" w:sz="4" w:space="0"/>
              <w:left w:val="single" w:color="auto" w:sz="4" w:space="0"/>
              <w:right w:val="single" w:color="auto" w:sz="4" w:space="0"/>
            </w:tcBorders>
            <w:vAlign w:val="center"/>
          </w:tcPr>
          <w:p>
            <w:pPr>
              <w:widowControl w:val="0"/>
              <w:autoSpaceDE w:val="0"/>
              <w:autoSpaceDN w:val="0"/>
              <w:adjustRightInd w:val="0"/>
              <w:snapToGrid w:val="0"/>
              <w:spacing w:line="360" w:lineRule="auto"/>
              <w:jc w:val="center"/>
              <w:rPr>
                <w:rFonts w:asciiTheme="minorEastAsia" w:hAnsiTheme="minorEastAsia" w:eastAsiaTheme="minorEastAsia" w:cstheme="minorEastAsia"/>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14:textFill>
                  <w14:solidFill>
                    <w14:schemeClr w14:val="tx1"/>
                  </w14:solidFill>
                </w14:textFill>
              </w:rPr>
              <w:t>技术综合能力</w:t>
            </w:r>
          </w:p>
          <w:p>
            <w:pPr>
              <w:widowControl w:val="0"/>
              <w:spacing w:line="360" w:lineRule="auto"/>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（15分</w:t>
            </w:r>
            <w:r>
              <w:rPr>
                <w:rFonts w:hint="eastAsia" w:asciiTheme="minorEastAsia" w:hAnsiTheme="minorEastAsia" w:eastAsiaTheme="minorEastAsia" w:cstheme="minorEastAsia"/>
                <w:color w:val="000000"/>
                <w:sz w:val="22"/>
                <w:szCs w:val="22"/>
              </w:rPr>
              <w:t>）</w:t>
            </w:r>
          </w:p>
        </w:tc>
        <w:tc>
          <w:tcPr>
            <w:tcW w:w="6247" w:type="dxa"/>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3423"/>
              </w:tabs>
              <w:spacing w:line="400" w:lineRule="exact"/>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针对本次项目实施团队的配置合理性、人员技术能力（专业证书获取情况）对本次项目实施团队进行打分。</w:t>
            </w:r>
          </w:p>
          <w:p>
            <w:pPr>
              <w:numPr>
                <w:ilvl w:val="0"/>
                <w:numId w:val="0"/>
              </w:numPr>
              <w:tabs>
                <w:tab w:val="left" w:pos="3423"/>
              </w:tabs>
              <w:spacing w:line="400" w:lineRule="exact"/>
              <w:rPr>
                <w:rFonts w:hint="eastAsia"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t>供应商拟委派</w:t>
            </w:r>
            <w:r>
              <w:rPr>
                <w:rFonts w:hint="eastAsia" w:asciiTheme="minorEastAsia" w:hAnsiTheme="minorEastAsia" w:eastAsiaTheme="minorEastAsia" w:cstheme="minorEastAsia"/>
                <w:bCs/>
                <w:color w:val="000000" w:themeColor="text1"/>
                <w:szCs w:val="21"/>
                <w14:textFill>
                  <w14:solidFill>
                    <w14:schemeClr w14:val="tx1"/>
                  </w14:solidFill>
                </w14:textFill>
              </w:rPr>
              <w:t>人员</w:t>
            </w:r>
            <w:r>
              <w:rPr>
                <w:rFonts w:hint="eastAsia" w:asciiTheme="minorEastAsia" w:hAnsiTheme="minorEastAsia" w:eastAsiaTheme="minorEastAsia" w:cstheme="minorEastAsia"/>
                <w:bCs/>
                <w:color w:val="000000" w:themeColor="text1"/>
                <w:szCs w:val="21"/>
                <w:lang w:val="en-US" w:eastAsia="zh-CN"/>
                <w14:textFill>
                  <w14:solidFill>
                    <w14:schemeClr w14:val="tx1"/>
                  </w14:solidFill>
                </w14:textFill>
              </w:rPr>
              <w:t>中</w:t>
            </w:r>
            <w:r>
              <w:rPr>
                <w:rFonts w:hint="eastAsia" w:asciiTheme="minorEastAsia" w:hAnsiTheme="minorEastAsia" w:eastAsiaTheme="minorEastAsia" w:cstheme="minorEastAsia"/>
                <w:bCs/>
                <w:color w:val="000000" w:themeColor="text1"/>
                <w:szCs w:val="21"/>
                <w14:textFill>
                  <w14:solidFill>
                    <w14:schemeClr w14:val="tx1"/>
                  </w14:solidFill>
                </w14:textFill>
              </w:rPr>
              <w:t>，具有项目管理专家认证资质（PMP）的得3分；</w:t>
            </w:r>
          </w:p>
          <w:p>
            <w:pPr>
              <w:tabs>
                <w:tab w:val="left" w:pos="3423"/>
              </w:tabs>
              <w:spacing w:line="400" w:lineRule="exact"/>
              <w:rPr>
                <w:rFonts w:hint="eastAsia"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具有高级网络专家认证资质(HCIE/H3CIE/CCIE)的得3分；</w:t>
            </w:r>
          </w:p>
          <w:p>
            <w:pPr>
              <w:tabs>
                <w:tab w:val="left" w:pos="3423"/>
              </w:tabs>
              <w:spacing w:line="400" w:lineRule="exact"/>
              <w:rPr>
                <w:rFonts w:hint="eastAsia"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具有注册信息安全专家认证资质（CISP/CISSP</w:t>
            </w:r>
            <w:r>
              <w:rPr>
                <w:rFonts w:asciiTheme="minorEastAsia" w:hAnsiTheme="minorEastAsia" w:eastAsiaTheme="minorEastAsia" w:cstheme="minorEastAsia"/>
                <w:bCs/>
                <w:color w:val="000000" w:themeColor="text1"/>
                <w:szCs w:val="21"/>
                <w14:textFill>
                  <w14:solidFill>
                    <w14:schemeClr w14:val="tx1"/>
                  </w14:solidFill>
                </w14:textFill>
              </w:rPr>
              <w:t>）</w:t>
            </w:r>
            <w:r>
              <w:rPr>
                <w:rFonts w:hint="eastAsia" w:asciiTheme="minorEastAsia" w:hAnsiTheme="minorEastAsia" w:eastAsiaTheme="minorEastAsia" w:cstheme="minorEastAsia"/>
                <w:bCs/>
                <w:color w:val="000000" w:themeColor="text1"/>
                <w:szCs w:val="21"/>
                <w14:textFill>
                  <w14:solidFill>
                    <w14:schemeClr w14:val="tx1"/>
                  </w14:solidFill>
                </w14:textFill>
              </w:rPr>
              <w:t>的得3分；</w:t>
            </w:r>
          </w:p>
          <w:p>
            <w:pPr>
              <w:tabs>
                <w:tab w:val="left" w:pos="3423"/>
              </w:tabs>
              <w:spacing w:line="400" w:lineRule="exact"/>
              <w:rPr>
                <w:rFonts w:hint="eastAsia"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具有数据库专家认证资质（OCP</w:t>
            </w:r>
            <w:r>
              <w:rPr>
                <w:rFonts w:asciiTheme="minorEastAsia" w:hAnsiTheme="minorEastAsia" w:eastAsiaTheme="minorEastAsia" w:cstheme="minorEastAsia"/>
                <w:bCs/>
                <w:color w:val="000000" w:themeColor="text1"/>
                <w:szCs w:val="21"/>
                <w14:textFill>
                  <w14:solidFill>
                    <w14:schemeClr w14:val="tx1"/>
                  </w14:solidFill>
                </w14:textFill>
              </w:rPr>
              <w:t>）</w:t>
            </w:r>
            <w:r>
              <w:rPr>
                <w:rFonts w:hint="eastAsia" w:asciiTheme="minorEastAsia" w:hAnsiTheme="minorEastAsia" w:eastAsiaTheme="minorEastAsia" w:cstheme="minorEastAsia"/>
                <w:bCs/>
                <w:color w:val="000000" w:themeColor="text1"/>
                <w:szCs w:val="21"/>
                <w14:textFill>
                  <w14:solidFill>
                    <w14:schemeClr w14:val="tx1"/>
                  </w14:solidFill>
                </w14:textFill>
              </w:rPr>
              <w:t>的得3分；</w:t>
            </w:r>
          </w:p>
          <w:p>
            <w:pPr>
              <w:tabs>
                <w:tab w:val="left" w:pos="3423"/>
              </w:tabs>
              <w:spacing w:line="400" w:lineRule="exact"/>
              <w:rPr>
                <w:rFonts w:asciiTheme="minorEastAsia" w:hAnsiTheme="minorEastAsia" w:eastAsiaTheme="minorEastAsia" w:cstheme="minorEastAsia"/>
                <w:b/>
                <w:color w:val="FF0000"/>
                <w:szCs w:val="21"/>
              </w:rPr>
            </w:pPr>
            <w:r>
              <w:rPr>
                <w:rFonts w:hint="eastAsia" w:asciiTheme="minorEastAsia" w:hAnsiTheme="minorEastAsia" w:eastAsiaTheme="minorEastAsia" w:cstheme="minorEastAsia"/>
                <w:bCs/>
                <w:color w:val="000000" w:themeColor="text1"/>
                <w:szCs w:val="21"/>
                <w14:textFill>
                  <w14:solidFill>
                    <w14:schemeClr w14:val="tx1"/>
                  </w14:solidFill>
                </w14:textFill>
              </w:rPr>
              <w:t>具有虚拟机专家认证资质（VCP</w:t>
            </w:r>
            <w:r>
              <w:rPr>
                <w:rFonts w:asciiTheme="minorEastAsia" w:hAnsiTheme="minorEastAsia" w:eastAsiaTheme="minorEastAsia" w:cstheme="minorEastAsia"/>
                <w:bCs/>
                <w:color w:val="000000" w:themeColor="text1"/>
                <w:szCs w:val="21"/>
                <w14:textFill>
                  <w14:solidFill>
                    <w14:schemeClr w14:val="tx1"/>
                  </w14:solidFill>
                </w14:textFill>
              </w:rPr>
              <w:t>）</w:t>
            </w:r>
            <w:r>
              <w:rPr>
                <w:rFonts w:hint="eastAsia" w:asciiTheme="minorEastAsia" w:hAnsiTheme="minorEastAsia" w:eastAsiaTheme="minorEastAsia" w:cstheme="minorEastAsia"/>
                <w:bCs/>
                <w:color w:val="000000" w:themeColor="text1"/>
                <w:szCs w:val="21"/>
                <w14:textFill>
                  <w14:solidFill>
                    <w14:schemeClr w14:val="tx1"/>
                  </w14:solidFill>
                </w14:textFill>
              </w:rPr>
              <w:t>的得3分，最高得15分。</w:t>
            </w:r>
          </w:p>
          <w:p>
            <w:pPr>
              <w:tabs>
                <w:tab w:val="left" w:pos="3423"/>
              </w:tabs>
              <w:spacing w:line="400" w:lineRule="exact"/>
              <w:rPr>
                <w:rFonts w:asciiTheme="minorEastAsia" w:hAnsiTheme="minorEastAsia" w:eastAsiaTheme="minorEastAsia" w:cstheme="minorEastAsia"/>
                <w:sz w:val="22"/>
                <w:szCs w:val="22"/>
              </w:rPr>
            </w:pPr>
            <w:r>
              <w:rPr>
                <w:rFonts w:hint="eastAsia" w:asciiTheme="minorEastAsia" w:hAnsiTheme="minorEastAsia" w:eastAsiaTheme="minorEastAsia" w:cstheme="minorEastAsia"/>
                <w:b/>
                <w:szCs w:val="21"/>
              </w:rPr>
              <w:t>注：</w:t>
            </w:r>
            <w:r>
              <w:rPr>
                <w:rFonts w:hint="eastAsia"/>
              </w:rPr>
              <w:t>需提供</w:t>
            </w:r>
            <w:r>
              <w:rPr>
                <w:rFonts w:hint="eastAsia"/>
                <w:lang w:val="en-US" w:eastAsia="zh-CN"/>
              </w:rPr>
              <w:t>拟委派人员名单及资质证书</w:t>
            </w:r>
            <w:r>
              <w:rPr>
                <w:rFonts w:hint="eastAsia"/>
              </w:rPr>
              <w:t>扫描件作为得分依据，供应商对真实性负责。</w:t>
            </w:r>
          </w:p>
        </w:tc>
        <w:tc>
          <w:tcPr>
            <w:tcW w:w="1406"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Theme="minorEastAsia" w:hAnsiTheme="minorEastAsia" w:eastAsiaTheme="minorEastAsia" w:cstheme="minorEastAsia"/>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685" w:type="dxa"/>
            <w:gridSpan w:val="2"/>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napToGrid w:val="0"/>
              <w:spacing w:line="360" w:lineRule="auto"/>
              <w:jc w:val="center"/>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b/>
                <w:color w:val="000000"/>
                <w:kern w:val="0"/>
                <w:sz w:val="22"/>
                <w:szCs w:val="22"/>
              </w:rPr>
              <w:t>合    计</w:t>
            </w:r>
          </w:p>
        </w:tc>
        <w:tc>
          <w:tcPr>
            <w:tcW w:w="6247"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color w:val="000000"/>
                <w:sz w:val="22"/>
                <w:szCs w:val="22"/>
              </w:rPr>
              <w:t>20分</w:t>
            </w:r>
          </w:p>
        </w:tc>
        <w:tc>
          <w:tcPr>
            <w:tcW w:w="1406"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Theme="minorEastAsia" w:hAnsiTheme="minorEastAsia" w:eastAsiaTheme="minorEastAsia" w:cstheme="minorEastAsia"/>
                <w:color w:val="000000"/>
                <w:kern w:val="0"/>
                <w:sz w:val="22"/>
                <w:szCs w:val="22"/>
              </w:rPr>
            </w:pPr>
          </w:p>
        </w:tc>
      </w:tr>
    </w:tbl>
    <w:p>
      <w:pPr>
        <w:pStyle w:val="15"/>
        <w:spacing w:line="360" w:lineRule="auto"/>
        <w:rPr>
          <w:rFonts w:ascii="宋体" w:hAnsi="宋体"/>
          <w:sz w:val="24"/>
          <w:u w:val="single"/>
        </w:rPr>
      </w:pPr>
    </w:p>
    <w:p>
      <w:pPr>
        <w:widowControl w:val="0"/>
        <w:adjustRightInd w:val="0"/>
        <w:snapToGrid w:val="0"/>
        <w:spacing w:line="360" w:lineRule="auto"/>
        <w:jc w:val="both"/>
        <w:rPr>
          <w:rFonts w:ascii="宋体" w:hAnsi="宋体"/>
          <w:szCs w:val="21"/>
        </w:rPr>
      </w:pPr>
      <w:r>
        <w:rPr>
          <w:rFonts w:hint="eastAsia" w:ascii="宋体" w:hAnsi="宋体"/>
          <w:b/>
          <w:kern w:val="0"/>
          <w:szCs w:val="21"/>
        </w:rPr>
        <w:t>注：</w:t>
      </w:r>
      <w:r>
        <w:rPr>
          <w:rFonts w:hint="eastAsia" w:ascii="宋体" w:hAnsi="宋体"/>
          <w:kern w:val="0"/>
          <w:szCs w:val="21"/>
        </w:rPr>
        <w:t xml:space="preserve"> 1、</w:t>
      </w:r>
      <w:r>
        <w:rPr>
          <w:rFonts w:hint="eastAsia" w:ascii="宋体" w:hAnsi="宋体"/>
          <w:szCs w:val="21"/>
        </w:rPr>
        <w:t>本表由评审小组集体评议，统一计分。评审小组成员中对结论有不同意见时，按少数服从多数的原则，确定得分。</w:t>
      </w:r>
    </w:p>
    <w:p>
      <w:pPr>
        <w:widowControl w:val="0"/>
        <w:spacing w:line="360" w:lineRule="auto"/>
        <w:jc w:val="both"/>
        <w:rPr>
          <w:rFonts w:ascii="宋体" w:hAnsi="宋体"/>
          <w:sz w:val="24"/>
        </w:rPr>
      </w:pPr>
    </w:p>
    <w:p>
      <w:pPr>
        <w:widowControl w:val="0"/>
        <w:spacing w:line="360" w:lineRule="auto"/>
        <w:jc w:val="both"/>
        <w:rPr>
          <w:rFonts w:ascii="宋体" w:hAnsi="宋体"/>
          <w:bCs/>
          <w:sz w:val="24"/>
        </w:rPr>
      </w:pPr>
      <w:r>
        <w:rPr>
          <w:rFonts w:hint="eastAsia" w:ascii="宋体" w:hAnsi="宋体"/>
          <w:sz w:val="24"/>
        </w:rPr>
        <w:t>评审小组</w:t>
      </w:r>
      <w:r>
        <w:rPr>
          <w:rFonts w:ascii="宋体" w:hAnsi="宋体"/>
          <w:sz w:val="24"/>
        </w:rPr>
        <w:t>全体成员签字：</w:t>
      </w:r>
      <w:r>
        <w:rPr>
          <w:rFonts w:hint="eastAsia" w:ascii="宋体" w:hAnsi="宋体"/>
          <w:sz w:val="24"/>
        </w:rPr>
        <w:t xml:space="preserve">                                监督人员签字：</w:t>
      </w:r>
    </w:p>
    <w:p>
      <w:pPr>
        <w:rPr>
          <w:rFonts w:ascii="黑体" w:hAnsi="黑体" w:eastAsia="黑体"/>
          <w:sz w:val="32"/>
          <w:szCs w:val="32"/>
        </w:rPr>
      </w:pPr>
      <w:bookmarkStart w:id="11" w:name="_Toc76635714"/>
      <w:bookmarkStart w:id="12" w:name="_Toc77254135"/>
    </w:p>
    <w:p>
      <w:pPr>
        <w:widowControl w:val="0"/>
        <w:snapToGrid w:val="0"/>
        <w:spacing w:line="360" w:lineRule="auto"/>
        <w:outlineLvl w:val="2"/>
        <w:rPr>
          <w:rFonts w:hint="eastAsia" w:ascii="黑体" w:hAnsi="黑体" w:eastAsia="黑体"/>
          <w:sz w:val="32"/>
          <w:szCs w:val="32"/>
        </w:rPr>
      </w:pPr>
    </w:p>
    <w:p>
      <w:pPr>
        <w:widowControl w:val="0"/>
        <w:snapToGrid w:val="0"/>
        <w:spacing w:line="360" w:lineRule="auto"/>
        <w:outlineLvl w:val="2"/>
        <w:rPr>
          <w:rFonts w:ascii="黑体" w:hAnsi="黑体" w:eastAsia="黑体"/>
          <w:sz w:val="32"/>
          <w:szCs w:val="32"/>
        </w:rPr>
      </w:pPr>
      <w:r>
        <w:rPr>
          <w:rFonts w:hint="eastAsia" w:ascii="黑体" w:hAnsi="黑体" w:eastAsia="黑体"/>
          <w:sz w:val="32"/>
          <w:szCs w:val="32"/>
        </w:rPr>
        <w:t xml:space="preserve">附表2 </w:t>
      </w:r>
    </w:p>
    <w:p>
      <w:pPr>
        <w:widowControl w:val="0"/>
        <w:snapToGrid w:val="0"/>
        <w:spacing w:line="360" w:lineRule="auto"/>
        <w:jc w:val="center"/>
        <w:outlineLvl w:val="2"/>
        <w:rPr>
          <w:rFonts w:ascii="宋体" w:hAnsi="宋体"/>
          <w:kern w:val="0"/>
          <w:sz w:val="24"/>
        </w:rPr>
      </w:pPr>
      <w:r>
        <w:rPr>
          <w:rFonts w:hint="eastAsia" w:ascii="黑体" w:hAnsi="黑体" w:eastAsia="黑体"/>
          <w:sz w:val="32"/>
          <w:szCs w:val="32"/>
        </w:rPr>
        <w:t>技术</w:t>
      </w:r>
      <w:bookmarkEnd w:id="11"/>
      <w:bookmarkEnd w:id="12"/>
      <w:r>
        <w:rPr>
          <w:rFonts w:hint="eastAsia" w:ascii="黑体" w:hAnsi="黑体" w:eastAsia="黑体"/>
          <w:sz w:val="32"/>
          <w:szCs w:val="32"/>
        </w:rPr>
        <w:t>部分评分表</w:t>
      </w:r>
    </w:p>
    <w:p>
      <w:pPr>
        <w:widowControl w:val="0"/>
        <w:adjustRightInd w:val="0"/>
        <w:snapToGrid w:val="0"/>
        <w:spacing w:line="360" w:lineRule="auto"/>
        <w:jc w:val="both"/>
        <w:rPr>
          <w:rFonts w:ascii="宋体" w:hAnsi="宋体" w:cs="宋体"/>
          <w:bCs/>
          <w:kern w:val="0"/>
          <w:sz w:val="24"/>
          <w:u w:val="single"/>
        </w:rPr>
      </w:pPr>
      <w:r>
        <w:rPr>
          <w:rFonts w:hint="eastAsia" w:ascii="宋体" w:hAnsi="宋体"/>
          <w:kern w:val="0"/>
          <w:sz w:val="24"/>
        </w:rPr>
        <w:t>项目名称：</w:t>
      </w:r>
      <w:r>
        <w:rPr>
          <w:rFonts w:hint="eastAsia" w:ascii="宋体" w:hAnsi="宋体" w:cs="宋体"/>
          <w:bCs/>
          <w:sz w:val="24"/>
          <w:u w:val="single"/>
        </w:rPr>
        <w:t>岳阳城陵矶港务有限责任公司</w:t>
      </w:r>
      <w:r>
        <w:rPr>
          <w:rFonts w:hint="eastAsia" w:ascii="宋体" w:hAnsi="宋体" w:cs="宋体"/>
          <w:bCs/>
          <w:kern w:val="0"/>
          <w:sz w:val="24"/>
          <w:u w:val="single"/>
        </w:rPr>
        <w:t>超融合服务器采购</w:t>
      </w:r>
    </w:p>
    <w:tbl>
      <w:tblPr>
        <w:tblStyle w:val="39"/>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585"/>
        <w:gridCol w:w="3987"/>
        <w:gridCol w:w="997"/>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exact"/>
          <w:tblHeader/>
          <w:jc w:val="center"/>
        </w:trPr>
        <w:tc>
          <w:tcPr>
            <w:tcW w:w="766" w:type="dxa"/>
            <w:vMerge w:val="restar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序号</w:t>
            </w:r>
          </w:p>
        </w:tc>
        <w:tc>
          <w:tcPr>
            <w:tcW w:w="1585" w:type="dxa"/>
            <w:vMerge w:val="restar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评分因素</w:t>
            </w:r>
          </w:p>
        </w:tc>
        <w:tc>
          <w:tcPr>
            <w:tcW w:w="498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kern w:val="0"/>
                <w:sz w:val="22"/>
                <w:szCs w:val="22"/>
              </w:rPr>
              <w:t>评分标准</w:t>
            </w:r>
            <w:r>
              <w:rPr>
                <w:rFonts w:hint="eastAsia" w:asciiTheme="minorEastAsia" w:hAnsiTheme="minorEastAsia" w:eastAsiaTheme="minorEastAsia" w:cstheme="minorEastAsia"/>
                <w:b/>
                <w:sz w:val="22"/>
                <w:szCs w:val="22"/>
              </w:rPr>
              <w:t>/分值</w:t>
            </w:r>
          </w:p>
        </w:tc>
        <w:tc>
          <w:tcPr>
            <w:tcW w:w="134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b/>
                <w:kern w:val="0"/>
                <w:sz w:val="22"/>
                <w:szCs w:val="22"/>
              </w:rPr>
            </w:pPr>
            <w:r>
              <w:rPr>
                <w:rFonts w:hint="eastAsia" w:asciiTheme="minorEastAsia" w:hAnsiTheme="minorEastAsia" w:eastAsiaTheme="minorEastAsia" w:cstheme="minorEastAsia"/>
                <w:b/>
                <w:kern w:val="0"/>
                <w:sz w:val="22"/>
                <w:szCs w:val="22"/>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exact"/>
          <w:tblHeader/>
          <w:jc w:val="center"/>
        </w:trPr>
        <w:tc>
          <w:tcPr>
            <w:tcW w:w="766"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Theme="minorEastAsia" w:hAnsiTheme="minorEastAsia" w:eastAsiaTheme="minorEastAsia" w:cstheme="minorEastAsia"/>
                <w:b/>
                <w:sz w:val="22"/>
                <w:szCs w:val="22"/>
              </w:rPr>
            </w:pPr>
          </w:p>
        </w:tc>
        <w:tc>
          <w:tcPr>
            <w:tcW w:w="158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Theme="minorEastAsia" w:hAnsiTheme="minorEastAsia" w:eastAsiaTheme="minorEastAsia" w:cstheme="minorEastAsia"/>
                <w:b/>
                <w:sz w:val="22"/>
                <w:szCs w:val="22"/>
              </w:rPr>
            </w:pPr>
          </w:p>
        </w:tc>
        <w:tc>
          <w:tcPr>
            <w:tcW w:w="4984"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auto"/>
              <w:rPr>
                <w:rFonts w:asciiTheme="minorEastAsia" w:hAnsiTheme="minorEastAsia" w:eastAsiaTheme="minorEastAsia" w:cstheme="minorEastAsia"/>
                <w:b/>
                <w:sz w:val="22"/>
                <w:szCs w:val="22"/>
              </w:rPr>
            </w:pPr>
          </w:p>
        </w:tc>
        <w:tc>
          <w:tcPr>
            <w:tcW w:w="13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对投标产品配置的整体评价     </w:t>
            </w:r>
          </w:p>
          <w:p>
            <w:pPr>
              <w:widowControl w:val="0"/>
              <w:adjustRightInd w:val="0"/>
              <w:snapToGrid w:val="0"/>
              <w:spacing w:line="360" w:lineRule="auto"/>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（10分）</w:t>
            </w:r>
          </w:p>
        </w:tc>
        <w:tc>
          <w:tcPr>
            <w:tcW w:w="398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ind w:firstLine="220" w:firstLineChars="100"/>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设备参数全部满足招标要求的得10分; </w:t>
            </w:r>
          </w:p>
          <w:p>
            <w:pPr>
              <w:widowControl w:val="0"/>
              <w:adjustRightInd w:val="0"/>
              <w:snapToGrid w:val="0"/>
              <w:spacing w:line="360" w:lineRule="auto"/>
              <w:ind w:firstLine="220" w:firstLineChars="1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非打★号指标，有负偏离评委视其重要程度扣1-2 分，扣完为止。</w:t>
            </w:r>
          </w:p>
        </w:tc>
        <w:tc>
          <w:tcPr>
            <w:tcW w:w="99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10分</w:t>
            </w:r>
          </w:p>
        </w:tc>
        <w:tc>
          <w:tcPr>
            <w:tcW w:w="134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6" w:hRule="atLeast"/>
          <w:jc w:val="center"/>
        </w:trPr>
        <w:tc>
          <w:tcPr>
            <w:tcW w:w="766" w:type="dxa"/>
            <w:vMerge w:val="restart"/>
            <w:tcBorders>
              <w:top w:val="single" w:color="auto" w:sz="4" w:space="0"/>
              <w:left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w:t>
            </w:r>
          </w:p>
        </w:tc>
        <w:tc>
          <w:tcPr>
            <w:tcW w:w="1585" w:type="dxa"/>
            <w:vMerge w:val="restart"/>
            <w:tcBorders>
              <w:top w:val="single" w:color="auto" w:sz="4" w:space="0"/>
              <w:left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 xml:space="preserve">投标方案的响应程度    </w:t>
            </w:r>
          </w:p>
          <w:p>
            <w:pPr>
              <w:widowControl w:val="0"/>
              <w:adjustRightInd w:val="0"/>
              <w:snapToGrid w:val="0"/>
              <w:spacing w:line="360" w:lineRule="auto"/>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（18分）</w:t>
            </w:r>
          </w:p>
        </w:tc>
        <w:tc>
          <w:tcPr>
            <w:tcW w:w="398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ind w:firstLine="220" w:firstLineChars="100"/>
              <w:rPr>
                <w:rFonts w:asciiTheme="minorEastAsia" w:hAnsiTheme="minorEastAsia" w:eastAsiaTheme="minorEastAsia" w:cstheme="minorEastAsia"/>
                <w:sz w:val="22"/>
                <w:szCs w:val="22"/>
                <w:lang w:bidi="ar"/>
              </w:rPr>
            </w:pPr>
            <w:r>
              <w:rPr>
                <w:rFonts w:hint="eastAsia" w:asciiTheme="minorEastAsia" w:hAnsiTheme="minorEastAsia" w:eastAsiaTheme="minorEastAsia" w:cstheme="minorEastAsia"/>
                <w:sz w:val="22"/>
                <w:szCs w:val="22"/>
              </w:rPr>
              <w:t>根据投标设计方案优劣进行打分，投标文件须进行针对性描述:对系统运营进行详细说明，体现对招标需求的理解，总体思路、原则、特点把握准确，清晰合理，技术目标符合现状及未来发展要求。横向比较投标人针对本项目相关制造的实施方案，优秀的，得9－10分；良好的，得7－8分；一般的得6分。若响应情况相当，允许得分相同。</w:t>
            </w:r>
          </w:p>
        </w:tc>
        <w:tc>
          <w:tcPr>
            <w:tcW w:w="99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10分</w:t>
            </w:r>
          </w:p>
        </w:tc>
        <w:tc>
          <w:tcPr>
            <w:tcW w:w="134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7" w:hRule="atLeast"/>
          <w:jc w:val="center"/>
        </w:trPr>
        <w:tc>
          <w:tcPr>
            <w:tcW w:w="766" w:type="dxa"/>
            <w:vMerge w:val="continue"/>
            <w:tcBorders>
              <w:left w:val="single" w:color="auto" w:sz="4" w:space="0"/>
              <w:right w:val="single" w:color="auto" w:sz="4" w:space="0"/>
            </w:tcBorders>
            <w:vAlign w:val="center"/>
          </w:tcPr>
          <w:p>
            <w:pPr>
              <w:spacing w:line="240" w:lineRule="auto"/>
              <w:rPr>
                <w:rFonts w:asciiTheme="minorEastAsia" w:hAnsiTheme="minorEastAsia" w:eastAsiaTheme="minorEastAsia" w:cstheme="minorEastAsia"/>
                <w:sz w:val="22"/>
                <w:szCs w:val="22"/>
              </w:rPr>
            </w:pPr>
          </w:p>
        </w:tc>
        <w:tc>
          <w:tcPr>
            <w:tcW w:w="1585" w:type="dxa"/>
            <w:vMerge w:val="continue"/>
            <w:tcBorders>
              <w:left w:val="single" w:color="auto" w:sz="4" w:space="0"/>
              <w:right w:val="single" w:color="auto" w:sz="4" w:space="0"/>
            </w:tcBorders>
            <w:vAlign w:val="center"/>
          </w:tcPr>
          <w:p>
            <w:pPr>
              <w:spacing w:line="360" w:lineRule="auto"/>
              <w:rPr>
                <w:rFonts w:asciiTheme="minorEastAsia" w:hAnsiTheme="minorEastAsia" w:eastAsiaTheme="minorEastAsia" w:cstheme="minorEastAsia"/>
                <w:sz w:val="22"/>
                <w:szCs w:val="22"/>
              </w:rPr>
            </w:pPr>
          </w:p>
        </w:tc>
        <w:tc>
          <w:tcPr>
            <w:tcW w:w="398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ind w:firstLine="220" w:firstLineChars="1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color w:val="000000"/>
                <w:sz w:val="22"/>
                <w:szCs w:val="22"/>
              </w:rPr>
              <w:t>横向比较投标人的售后范围、售后服务描述，具体、清晰，</w:t>
            </w:r>
            <w:r>
              <w:rPr>
                <w:rFonts w:hint="eastAsia" w:asciiTheme="minorEastAsia" w:hAnsiTheme="minorEastAsia" w:eastAsiaTheme="minorEastAsia" w:cstheme="minorEastAsia"/>
                <w:sz w:val="22"/>
                <w:szCs w:val="22"/>
              </w:rPr>
              <w:t>对比优秀的，得3分；良好的，得2分；差或未提供的不得分。若响应情况相当，允许得分相同。</w:t>
            </w:r>
          </w:p>
        </w:tc>
        <w:tc>
          <w:tcPr>
            <w:tcW w:w="99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3分</w:t>
            </w:r>
          </w:p>
        </w:tc>
        <w:tc>
          <w:tcPr>
            <w:tcW w:w="134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7" w:hRule="atLeast"/>
          <w:jc w:val="center"/>
        </w:trPr>
        <w:tc>
          <w:tcPr>
            <w:tcW w:w="766" w:type="dxa"/>
            <w:vMerge w:val="continue"/>
            <w:tcBorders>
              <w:left w:val="single" w:color="auto" w:sz="4" w:space="0"/>
              <w:right w:val="single" w:color="auto" w:sz="4" w:space="0"/>
            </w:tcBorders>
            <w:vAlign w:val="center"/>
          </w:tcPr>
          <w:p>
            <w:pPr>
              <w:spacing w:line="240" w:lineRule="auto"/>
              <w:rPr>
                <w:rFonts w:asciiTheme="minorEastAsia" w:hAnsiTheme="minorEastAsia" w:eastAsiaTheme="minorEastAsia" w:cstheme="minorEastAsia"/>
                <w:sz w:val="22"/>
                <w:szCs w:val="22"/>
              </w:rPr>
            </w:pPr>
          </w:p>
        </w:tc>
        <w:tc>
          <w:tcPr>
            <w:tcW w:w="1585" w:type="dxa"/>
            <w:vMerge w:val="continue"/>
            <w:tcBorders>
              <w:left w:val="single" w:color="auto" w:sz="4" w:space="0"/>
              <w:right w:val="single" w:color="auto" w:sz="4" w:space="0"/>
            </w:tcBorders>
            <w:vAlign w:val="center"/>
          </w:tcPr>
          <w:p>
            <w:pPr>
              <w:spacing w:line="360" w:lineRule="auto"/>
              <w:rPr>
                <w:rFonts w:asciiTheme="minorEastAsia" w:hAnsiTheme="minorEastAsia" w:eastAsiaTheme="minorEastAsia" w:cstheme="minorEastAsia"/>
                <w:sz w:val="22"/>
                <w:szCs w:val="22"/>
              </w:rPr>
            </w:pPr>
          </w:p>
        </w:tc>
        <w:tc>
          <w:tcPr>
            <w:tcW w:w="398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ind w:firstLine="220" w:firstLineChars="100"/>
              <w:rPr>
                <w:rFonts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bCs/>
                <w:sz w:val="22"/>
                <w:szCs w:val="22"/>
              </w:rPr>
              <w:t>投标单位所提供的整体项目实施方案，应具有科学性、先进性、合理性，适合本工程特点；根据投标人提供的设备安装、集成调试、人员配置、进度计划、质量控制、管理制度、验收方案等进行综合评价，优秀的，得5分；良好的，得4分；一般的得3分。若响应情况相当，允许得分相同。</w:t>
            </w:r>
          </w:p>
        </w:tc>
        <w:tc>
          <w:tcPr>
            <w:tcW w:w="99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5分</w:t>
            </w:r>
          </w:p>
        </w:tc>
        <w:tc>
          <w:tcPr>
            <w:tcW w:w="134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8" w:hRule="atLeast"/>
          <w:jc w:val="center"/>
        </w:trPr>
        <w:tc>
          <w:tcPr>
            <w:tcW w:w="766" w:type="dxa"/>
            <w:vMerge w:val="continue"/>
            <w:tcBorders>
              <w:left w:val="single" w:color="auto" w:sz="4" w:space="0"/>
              <w:bottom w:val="single" w:color="auto" w:sz="4" w:space="0"/>
              <w:right w:val="single" w:color="auto" w:sz="4" w:space="0"/>
            </w:tcBorders>
            <w:vAlign w:val="center"/>
          </w:tcPr>
          <w:p>
            <w:pPr>
              <w:spacing w:line="240" w:lineRule="auto"/>
              <w:rPr>
                <w:rFonts w:asciiTheme="minorEastAsia" w:hAnsiTheme="minorEastAsia" w:eastAsiaTheme="minorEastAsia" w:cstheme="minorEastAsia"/>
                <w:sz w:val="22"/>
                <w:szCs w:val="22"/>
              </w:rPr>
            </w:pPr>
          </w:p>
        </w:tc>
        <w:tc>
          <w:tcPr>
            <w:tcW w:w="1585" w:type="dxa"/>
            <w:vMerge w:val="continue"/>
            <w:tcBorders>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2"/>
                <w:szCs w:val="22"/>
              </w:rPr>
            </w:pPr>
          </w:p>
        </w:tc>
        <w:tc>
          <w:tcPr>
            <w:tcW w:w="6327" w:type="dxa"/>
            <w:gridSpan w:val="3"/>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bidi="ar"/>
              </w:rPr>
              <w:t>注：</w:t>
            </w:r>
            <w:r>
              <w:rPr>
                <w:rFonts w:hint="eastAsia" w:asciiTheme="minorEastAsia" w:hAnsiTheme="minorEastAsia" w:eastAsiaTheme="minorEastAsia" w:cstheme="minorEastAsia"/>
                <w:b/>
                <w:bCs/>
                <w:sz w:val="22"/>
                <w:szCs w:val="22"/>
                <w:lang w:bidi="ar"/>
              </w:rPr>
              <w:t>产品性能数据必须要有证据支撑（如检测报告等）</w:t>
            </w:r>
            <w:r>
              <w:rPr>
                <w:rFonts w:hint="eastAsia" w:asciiTheme="minorEastAsia" w:hAnsiTheme="minorEastAsia" w:eastAsiaTheme="minorEastAsia" w:cstheme="minorEastAsia"/>
                <w:sz w:val="22"/>
                <w:szCs w:val="22"/>
                <w:lang w:bidi="ar"/>
              </w:rPr>
              <w:t>，无证据支撑的只能视为符合国标。如经到货检验发现数据不达标或伪造的，招标方将中止合同并追究责任。</w:t>
            </w:r>
            <w:r>
              <w:rPr>
                <w:rFonts w:hint="eastAsia" w:asciiTheme="minorEastAsia" w:hAnsiTheme="minorEastAsia" w:eastAsiaTheme="minorEastAsia" w:cstheme="minorEastAsia"/>
                <w:b/>
                <w:bCs/>
                <w:sz w:val="22"/>
                <w:szCs w:val="22"/>
                <w:lang w:bidi="ar"/>
              </w:rPr>
              <w:t>当出现产品性能数据相同时，得分也相同</w:t>
            </w:r>
            <w:r>
              <w:rPr>
                <w:rFonts w:hint="eastAsia" w:asciiTheme="minorEastAsia" w:hAnsiTheme="minorEastAsia" w:eastAsiaTheme="minorEastAsia" w:cstheme="minorEastAsia"/>
                <w:sz w:val="22"/>
                <w:szCs w:val="22"/>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3</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质保期</w:t>
            </w:r>
          </w:p>
          <w:p>
            <w:pPr>
              <w:widowControl w:val="0"/>
              <w:adjustRightInd w:val="0"/>
              <w:snapToGrid w:val="0"/>
              <w:spacing w:line="360" w:lineRule="auto"/>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（2分）</w:t>
            </w:r>
          </w:p>
        </w:tc>
        <w:tc>
          <w:tcPr>
            <w:tcW w:w="398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ind w:firstLine="220" w:firstLineChars="100"/>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投标人承诺质保期为三年以上的，每增加1个月额外得</w:t>
            </w:r>
            <w:r>
              <w:rPr>
                <w:rFonts w:hint="eastAsia" w:asciiTheme="minorEastAsia" w:hAnsiTheme="minorEastAsia" w:eastAsiaTheme="minorEastAsia" w:cstheme="minorEastAsia"/>
                <w:sz w:val="22"/>
                <w:szCs w:val="22"/>
                <w:u w:val="single"/>
              </w:rPr>
              <w:t>0.2</w:t>
            </w:r>
            <w:r>
              <w:rPr>
                <w:rFonts w:hint="eastAsia" w:asciiTheme="minorEastAsia" w:hAnsiTheme="minorEastAsia" w:eastAsiaTheme="minorEastAsia" w:cstheme="minorEastAsia"/>
                <w:sz w:val="22"/>
                <w:szCs w:val="22"/>
              </w:rPr>
              <w:t>分，累计最多得</w:t>
            </w:r>
            <w:r>
              <w:rPr>
                <w:rFonts w:hint="eastAsia" w:asciiTheme="minorEastAsia" w:hAnsiTheme="minorEastAsia" w:eastAsiaTheme="minorEastAsia" w:cstheme="minorEastAsia"/>
                <w:sz w:val="22"/>
                <w:szCs w:val="22"/>
                <w:u w:val="single"/>
              </w:rPr>
              <w:t>2</w:t>
            </w:r>
            <w:r>
              <w:rPr>
                <w:rFonts w:hint="eastAsia" w:asciiTheme="minorEastAsia" w:hAnsiTheme="minorEastAsia" w:eastAsiaTheme="minorEastAsia" w:cstheme="minorEastAsia"/>
                <w:sz w:val="22"/>
                <w:szCs w:val="22"/>
              </w:rPr>
              <w:t>分。</w:t>
            </w:r>
          </w:p>
        </w:tc>
        <w:tc>
          <w:tcPr>
            <w:tcW w:w="99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2分</w:t>
            </w:r>
          </w:p>
        </w:tc>
        <w:tc>
          <w:tcPr>
            <w:tcW w:w="134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6338" w:type="dxa"/>
            <w:gridSpan w:val="3"/>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b/>
                <w:sz w:val="22"/>
                <w:szCs w:val="22"/>
              </w:rPr>
              <w:t>合计</w:t>
            </w:r>
          </w:p>
        </w:tc>
        <w:tc>
          <w:tcPr>
            <w:tcW w:w="997"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b/>
                <w:sz w:val="22"/>
                <w:szCs w:val="22"/>
              </w:rPr>
              <w:t>30分</w:t>
            </w:r>
          </w:p>
        </w:tc>
        <w:tc>
          <w:tcPr>
            <w:tcW w:w="1343"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b/>
                <w:sz w:val="22"/>
                <w:szCs w:val="22"/>
              </w:rPr>
            </w:pPr>
          </w:p>
        </w:tc>
      </w:tr>
    </w:tbl>
    <w:p>
      <w:pPr>
        <w:pStyle w:val="16"/>
        <w:spacing w:line="360" w:lineRule="auto"/>
        <w:rPr>
          <w:rFonts w:ascii="宋体" w:hAnsi="宋体"/>
          <w:u w:val="single"/>
        </w:rPr>
      </w:pPr>
    </w:p>
    <w:p>
      <w:pPr>
        <w:widowControl w:val="0"/>
        <w:adjustRightInd w:val="0"/>
        <w:snapToGrid w:val="0"/>
        <w:spacing w:line="360" w:lineRule="auto"/>
        <w:ind w:firstLine="315" w:firstLineChars="150"/>
        <w:rPr>
          <w:rFonts w:ascii="宋体" w:hAnsi="宋体"/>
          <w:kern w:val="0"/>
          <w:szCs w:val="21"/>
        </w:rPr>
      </w:pPr>
      <w:r>
        <w:rPr>
          <w:rFonts w:hint="eastAsia" w:ascii="宋体" w:hAnsi="宋体"/>
          <w:kern w:val="0"/>
          <w:szCs w:val="21"/>
        </w:rPr>
        <w:t>注：1、本表小计总分为</w:t>
      </w:r>
      <w:r>
        <w:rPr>
          <w:rFonts w:hint="eastAsia" w:ascii="宋体" w:hAnsi="宋体"/>
          <w:szCs w:val="21"/>
          <w:u w:val="single"/>
        </w:rPr>
        <w:t>30</w:t>
      </w:r>
      <w:r>
        <w:rPr>
          <w:rFonts w:hint="eastAsia" w:ascii="宋体" w:hAnsi="宋体"/>
          <w:kern w:val="0"/>
          <w:szCs w:val="21"/>
        </w:rPr>
        <w:t>分。</w:t>
      </w:r>
    </w:p>
    <w:p>
      <w:pPr>
        <w:widowControl w:val="0"/>
        <w:adjustRightInd w:val="0"/>
        <w:snapToGrid w:val="0"/>
        <w:spacing w:line="360" w:lineRule="auto"/>
        <w:ind w:firstLine="735" w:firstLineChars="350"/>
        <w:rPr>
          <w:rFonts w:ascii="宋体" w:hAnsi="宋体"/>
          <w:kern w:val="0"/>
          <w:szCs w:val="21"/>
        </w:rPr>
      </w:pPr>
      <w:r>
        <w:rPr>
          <w:rFonts w:hint="eastAsia" w:ascii="宋体" w:hAnsi="宋体"/>
          <w:kern w:val="0"/>
          <w:szCs w:val="21"/>
        </w:rPr>
        <w:t>2、技术文件中缺失某项评分因素的，该项评分因素计0分。</w:t>
      </w:r>
    </w:p>
    <w:p>
      <w:pPr>
        <w:widowControl w:val="0"/>
        <w:adjustRightInd w:val="0"/>
        <w:snapToGrid w:val="0"/>
        <w:spacing w:line="360" w:lineRule="auto"/>
        <w:ind w:firstLine="735" w:firstLineChars="350"/>
        <w:rPr>
          <w:rFonts w:ascii="宋体" w:hAnsi="宋体"/>
          <w:b/>
          <w:kern w:val="0"/>
          <w:szCs w:val="21"/>
        </w:rPr>
      </w:pPr>
      <w:r>
        <w:rPr>
          <w:rFonts w:hint="eastAsia" w:ascii="宋体" w:hAnsi="宋体"/>
          <w:kern w:val="0"/>
          <w:szCs w:val="21"/>
        </w:rPr>
        <w:t>3、该项评分内容计分，由</w:t>
      </w:r>
      <w:r>
        <w:rPr>
          <w:rFonts w:hint="eastAsia" w:ascii="宋体" w:hAnsi="宋体"/>
          <w:szCs w:val="21"/>
        </w:rPr>
        <w:t>评审小组</w:t>
      </w:r>
      <w:r>
        <w:rPr>
          <w:rFonts w:hint="eastAsia" w:ascii="宋体" w:hAnsi="宋体"/>
          <w:kern w:val="0"/>
          <w:szCs w:val="21"/>
        </w:rPr>
        <w:t>集体评议，评委根据集体评议意见，自主评分。</w:t>
      </w:r>
      <w:r>
        <w:rPr>
          <w:rFonts w:hint="eastAsia" w:ascii="宋体" w:hAnsi="宋体"/>
          <w:b/>
          <w:kern w:val="0"/>
          <w:szCs w:val="21"/>
        </w:rPr>
        <w:t>技术文件得分为评委个人评审计分的算术平均值。</w:t>
      </w:r>
    </w:p>
    <w:p>
      <w:pPr>
        <w:widowControl w:val="0"/>
        <w:adjustRightInd w:val="0"/>
        <w:snapToGrid w:val="0"/>
        <w:spacing w:line="360" w:lineRule="auto"/>
        <w:ind w:firstLine="735" w:firstLineChars="350"/>
      </w:pPr>
      <w:r>
        <w:rPr>
          <w:rFonts w:hint="eastAsia" w:ascii="宋体" w:hAnsi="宋体" w:cs="宋体"/>
          <w:szCs w:val="21"/>
        </w:rPr>
        <w:t>4、</w:t>
      </w:r>
      <w:r>
        <w:rPr>
          <w:rFonts w:hint="eastAsia" w:ascii="宋体" w:hAnsi="宋体" w:cs="宋体"/>
          <w:b/>
          <w:bCs/>
          <w:szCs w:val="21"/>
        </w:rPr>
        <w:t>供应商需提供相关检测报告或其他证明文件作为得分依据</w:t>
      </w:r>
      <w:r>
        <w:rPr>
          <w:rFonts w:hint="eastAsia" w:ascii="宋体" w:hAnsi="宋体" w:cs="宋体"/>
          <w:szCs w:val="21"/>
        </w:rPr>
        <w:t>。</w:t>
      </w:r>
    </w:p>
    <w:p>
      <w:pPr>
        <w:widowControl w:val="0"/>
        <w:adjustRightInd w:val="0"/>
        <w:snapToGrid w:val="0"/>
        <w:spacing w:line="360" w:lineRule="auto"/>
        <w:ind w:firstLine="738" w:firstLineChars="350"/>
        <w:rPr>
          <w:rFonts w:ascii="宋体" w:hAnsi="宋体"/>
          <w:b/>
          <w:kern w:val="0"/>
          <w:szCs w:val="21"/>
        </w:rPr>
      </w:pPr>
    </w:p>
    <w:p>
      <w:pPr>
        <w:widowControl w:val="0"/>
        <w:adjustRightInd w:val="0"/>
        <w:snapToGrid w:val="0"/>
        <w:spacing w:line="360" w:lineRule="auto"/>
        <w:ind w:firstLine="738" w:firstLineChars="350"/>
        <w:rPr>
          <w:rFonts w:ascii="宋体" w:hAnsi="宋体"/>
          <w:b/>
          <w:kern w:val="0"/>
          <w:szCs w:val="21"/>
        </w:rPr>
      </w:pPr>
    </w:p>
    <w:p>
      <w:pPr>
        <w:widowControl w:val="0"/>
        <w:spacing w:line="360" w:lineRule="auto"/>
        <w:jc w:val="both"/>
        <w:rPr>
          <w:rFonts w:ascii="宋体" w:hAnsi="宋体"/>
          <w:bCs/>
          <w:sz w:val="24"/>
        </w:rPr>
      </w:pPr>
      <w:r>
        <w:rPr>
          <w:rFonts w:hint="eastAsia" w:ascii="宋体" w:hAnsi="宋体"/>
          <w:sz w:val="24"/>
        </w:rPr>
        <w:t>评审小组</w:t>
      </w:r>
      <w:r>
        <w:rPr>
          <w:rFonts w:ascii="宋体" w:hAnsi="宋体"/>
          <w:sz w:val="24"/>
        </w:rPr>
        <w:t>成员签字：</w:t>
      </w:r>
      <w:r>
        <w:rPr>
          <w:rFonts w:hint="eastAsia" w:ascii="宋体" w:hAnsi="宋体"/>
          <w:sz w:val="24"/>
        </w:rPr>
        <w:t xml:space="preserve">                                </w:t>
      </w:r>
    </w:p>
    <w:p>
      <w:pPr>
        <w:widowControl w:val="0"/>
        <w:snapToGrid w:val="0"/>
        <w:spacing w:line="360" w:lineRule="auto"/>
        <w:outlineLvl w:val="2"/>
        <w:rPr>
          <w:rFonts w:ascii="黑体" w:hAnsi="黑体" w:eastAsia="黑体"/>
          <w:sz w:val="32"/>
          <w:szCs w:val="32"/>
        </w:rPr>
      </w:pPr>
    </w:p>
    <w:p>
      <w:pPr>
        <w:widowControl w:val="0"/>
        <w:snapToGrid w:val="0"/>
        <w:spacing w:line="360" w:lineRule="auto"/>
        <w:outlineLvl w:val="2"/>
        <w:rPr>
          <w:rFonts w:ascii="黑体" w:hAnsi="黑体" w:eastAsia="黑体"/>
          <w:sz w:val="32"/>
          <w:szCs w:val="32"/>
        </w:rPr>
      </w:pPr>
    </w:p>
    <w:p>
      <w:pPr>
        <w:widowControl w:val="0"/>
        <w:snapToGrid w:val="0"/>
        <w:spacing w:line="360" w:lineRule="auto"/>
        <w:outlineLvl w:val="2"/>
        <w:rPr>
          <w:rFonts w:ascii="黑体" w:hAnsi="黑体" w:eastAsia="黑体"/>
          <w:sz w:val="32"/>
          <w:szCs w:val="32"/>
        </w:rPr>
      </w:pPr>
    </w:p>
    <w:p>
      <w:pPr>
        <w:widowControl w:val="0"/>
        <w:snapToGrid w:val="0"/>
        <w:spacing w:line="360" w:lineRule="auto"/>
        <w:outlineLvl w:val="2"/>
        <w:rPr>
          <w:rFonts w:ascii="黑体" w:hAnsi="黑体" w:eastAsia="黑体"/>
          <w:sz w:val="32"/>
          <w:szCs w:val="32"/>
        </w:rPr>
      </w:pPr>
    </w:p>
    <w:p>
      <w:pPr>
        <w:pStyle w:val="2"/>
        <w:rPr>
          <w:rFonts w:ascii="黑体" w:hAnsi="黑体" w:eastAsia="黑体"/>
          <w:sz w:val="32"/>
          <w:szCs w:val="32"/>
        </w:rPr>
      </w:pPr>
    </w:p>
    <w:p>
      <w:pPr>
        <w:rPr>
          <w:rFonts w:ascii="黑体" w:hAnsi="黑体" w:eastAsia="黑体"/>
          <w:sz w:val="32"/>
          <w:szCs w:val="32"/>
        </w:rPr>
      </w:pPr>
    </w:p>
    <w:p>
      <w:pPr>
        <w:pStyle w:val="2"/>
        <w:rPr>
          <w:rFonts w:ascii="黑体" w:hAnsi="黑体" w:eastAsia="黑体"/>
          <w:sz w:val="32"/>
          <w:szCs w:val="32"/>
        </w:rPr>
      </w:pPr>
    </w:p>
    <w:p>
      <w:pPr>
        <w:rPr>
          <w:rFonts w:ascii="黑体" w:hAnsi="黑体" w:eastAsia="黑体"/>
          <w:sz w:val="32"/>
          <w:szCs w:val="32"/>
        </w:rPr>
      </w:pPr>
    </w:p>
    <w:p>
      <w:pPr>
        <w:pStyle w:val="2"/>
      </w:pPr>
    </w:p>
    <w:p>
      <w:pPr>
        <w:widowControl w:val="0"/>
        <w:snapToGrid w:val="0"/>
        <w:spacing w:line="360" w:lineRule="auto"/>
        <w:outlineLvl w:val="2"/>
        <w:rPr>
          <w:rFonts w:ascii="黑体" w:hAnsi="黑体" w:eastAsia="黑体"/>
          <w:sz w:val="32"/>
          <w:szCs w:val="32"/>
        </w:rPr>
      </w:pPr>
      <w:r>
        <w:rPr>
          <w:rFonts w:hint="eastAsia" w:ascii="黑体" w:hAnsi="黑体" w:eastAsia="黑体"/>
          <w:sz w:val="32"/>
          <w:szCs w:val="32"/>
        </w:rPr>
        <w:t>附表3</w:t>
      </w:r>
    </w:p>
    <w:p>
      <w:pPr>
        <w:widowControl w:val="0"/>
        <w:snapToGrid w:val="0"/>
        <w:spacing w:line="360" w:lineRule="auto"/>
        <w:jc w:val="center"/>
        <w:outlineLvl w:val="2"/>
        <w:rPr>
          <w:rFonts w:ascii="黑体" w:hAnsi="黑体" w:eastAsia="黑体"/>
          <w:sz w:val="32"/>
          <w:szCs w:val="32"/>
        </w:rPr>
      </w:pPr>
      <w:r>
        <w:rPr>
          <w:rFonts w:hint="eastAsia" w:ascii="黑体" w:hAnsi="黑体" w:eastAsia="黑体"/>
          <w:sz w:val="32"/>
          <w:szCs w:val="32"/>
        </w:rPr>
        <w:t>投标报价评分表</w:t>
      </w:r>
    </w:p>
    <w:p>
      <w:pPr>
        <w:snapToGrid w:val="0"/>
        <w:spacing w:line="360" w:lineRule="auto"/>
        <w:jc w:val="both"/>
        <w:rPr>
          <w:rFonts w:ascii="黑体" w:hAnsi="黑体" w:eastAsia="黑体" w:cs="仿宋"/>
          <w:b/>
          <w:color w:val="000000"/>
          <w:sz w:val="36"/>
          <w:szCs w:val="36"/>
        </w:rPr>
      </w:pPr>
      <w:r>
        <w:rPr>
          <w:rFonts w:hint="eastAsia" w:ascii="宋体" w:hAnsi="宋体"/>
          <w:sz w:val="24"/>
        </w:rPr>
        <w:t>项目名称：</w:t>
      </w:r>
      <w:r>
        <w:rPr>
          <w:rFonts w:hint="eastAsia" w:ascii="宋体" w:hAnsi="宋体" w:cs="宋体"/>
          <w:bCs/>
          <w:sz w:val="24"/>
          <w:u w:val="single"/>
        </w:rPr>
        <w:t>岳阳城陵矶港务有限责任公司</w:t>
      </w:r>
      <w:r>
        <w:rPr>
          <w:rFonts w:hint="eastAsia" w:ascii="宋体" w:hAnsi="宋体" w:cs="宋体"/>
          <w:bCs/>
          <w:kern w:val="0"/>
          <w:sz w:val="24"/>
          <w:u w:val="single"/>
        </w:rPr>
        <w:t>超融合服务器采购</w:t>
      </w:r>
    </w:p>
    <w:tbl>
      <w:tblPr>
        <w:tblStyle w:val="3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1682"/>
        <w:gridCol w:w="4235"/>
        <w:gridCol w:w="1058"/>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tblHeader/>
          <w:jc w:val="center"/>
        </w:trPr>
        <w:tc>
          <w:tcPr>
            <w:tcW w:w="441" w:type="pc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序号</w:t>
            </w:r>
          </w:p>
        </w:tc>
        <w:tc>
          <w:tcPr>
            <w:tcW w:w="913" w:type="pc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sz w:val="22"/>
                <w:szCs w:val="22"/>
              </w:rPr>
              <w:t>评分因素</w:t>
            </w:r>
          </w:p>
        </w:tc>
        <w:tc>
          <w:tcPr>
            <w:tcW w:w="2871" w:type="pct"/>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b/>
                <w:sz w:val="22"/>
                <w:szCs w:val="22"/>
              </w:rPr>
            </w:pPr>
            <w:r>
              <w:rPr>
                <w:rFonts w:hint="eastAsia" w:asciiTheme="minorEastAsia" w:hAnsiTheme="minorEastAsia" w:eastAsiaTheme="minorEastAsia" w:cstheme="minorEastAsia"/>
                <w:b/>
                <w:kern w:val="0"/>
                <w:sz w:val="22"/>
                <w:szCs w:val="22"/>
              </w:rPr>
              <w:t>评分标准</w:t>
            </w:r>
            <w:r>
              <w:rPr>
                <w:rFonts w:hint="eastAsia" w:asciiTheme="minorEastAsia" w:hAnsiTheme="minorEastAsia" w:eastAsiaTheme="minorEastAsia" w:cstheme="minorEastAsia"/>
                <w:b/>
                <w:sz w:val="22"/>
                <w:szCs w:val="22"/>
              </w:rPr>
              <w:t>/分值</w:t>
            </w:r>
          </w:p>
        </w:tc>
        <w:tc>
          <w:tcPr>
            <w:tcW w:w="773" w:type="pct"/>
            <w:tcBorders>
              <w:top w:val="single" w:color="auto" w:sz="4" w:space="0"/>
              <w:left w:val="single" w:color="auto" w:sz="4" w:space="0"/>
              <w:right w:val="single" w:color="auto" w:sz="4" w:space="0"/>
            </w:tcBorders>
            <w:vAlign w:val="center"/>
          </w:tcPr>
          <w:p>
            <w:pPr>
              <w:widowControl w:val="0"/>
              <w:adjustRightInd w:val="0"/>
              <w:snapToGrid w:val="0"/>
              <w:spacing w:line="240" w:lineRule="auto"/>
              <w:jc w:val="center"/>
            </w:pPr>
            <w:r>
              <w:rPr>
                <w:rFonts w:hint="eastAsia"/>
                <w:b/>
                <w:bCs/>
                <w:sz w:val="22"/>
                <w:szCs w:val="22"/>
              </w:rPr>
              <w:t>投标人</w:t>
            </w:r>
            <w:r>
              <w:rPr>
                <w:rFonts w:hint="eastAsia" w:asciiTheme="minorEastAsia" w:hAnsiTheme="minorEastAsia" w:eastAsiaTheme="minorEastAsia" w:cstheme="minorEastAsia"/>
                <w:b/>
                <w:kern w:val="0"/>
                <w:sz w:val="22"/>
                <w:szCs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8" w:hRule="atLeast"/>
          <w:jc w:val="center"/>
        </w:trPr>
        <w:tc>
          <w:tcPr>
            <w:tcW w:w="441" w:type="pc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w:t>
            </w:r>
          </w:p>
        </w:tc>
        <w:tc>
          <w:tcPr>
            <w:tcW w:w="913" w:type="pc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360" w:lineRule="auto"/>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投标报价</w:t>
            </w:r>
          </w:p>
        </w:tc>
        <w:tc>
          <w:tcPr>
            <w:tcW w:w="2297" w:type="pct"/>
            <w:tcBorders>
              <w:top w:val="single" w:color="auto" w:sz="4" w:space="0"/>
              <w:left w:val="single" w:color="auto" w:sz="4" w:space="0"/>
              <w:bottom w:val="single" w:color="auto" w:sz="4" w:space="0"/>
              <w:right w:val="single" w:color="auto" w:sz="4" w:space="0"/>
            </w:tcBorders>
            <w:vAlign w:val="center"/>
          </w:tcPr>
          <w:p>
            <w:pPr>
              <w:spacing w:line="312" w:lineRule="auto"/>
              <w:ind w:firstLine="539" w:firstLineChars="245"/>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A、当有效投标报价为5家以上时，评标基准价计算方法为：评标基准价=[有效投标人同等条件下的报价之和-最高价-最低价]/（有效投标单位数-2）</w:t>
            </w:r>
          </w:p>
          <w:p>
            <w:pPr>
              <w:spacing w:line="312" w:lineRule="auto"/>
              <w:ind w:firstLine="539" w:firstLineChars="245"/>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B、当有效投标报价为5家或5家以下时，评标基准价计算方法为：评标基准价=有效投标人报价之和/有效投标单位数</w:t>
            </w:r>
          </w:p>
          <w:p>
            <w:pPr>
              <w:spacing w:line="312" w:lineRule="auto"/>
              <w:ind w:firstLine="539" w:firstLineChars="245"/>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C、计算投标人评标价格的偏差率δ</w:t>
            </w:r>
          </w:p>
          <w:p>
            <w:pPr>
              <w:spacing w:line="312" w:lineRule="auto"/>
              <w:ind w:firstLine="539" w:firstLineChars="245"/>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δ=（投标人评标价格-评标基准价）/评标基准价×100%</w:t>
            </w:r>
          </w:p>
          <w:p>
            <w:pPr>
              <w:spacing w:line="312" w:lineRule="auto"/>
              <w:ind w:firstLine="539" w:firstLineChars="245"/>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依据投标人评标价格的偏差率δ，确定投标人报价得分如下：当δ=0时，得50分；当δ＞0时，则投标报价得分在50分的基础上，δ每增加1个百分点，则扣减0.6分，最低扣至0分为止；(保留两位小数)；当δ＜0时，则投标报价得分在50分的基础上，δ每减少1个百分点，则扣减0.3分，最低扣至0分为止。(保留两位小数)</w:t>
            </w:r>
          </w:p>
          <w:p>
            <w:pPr>
              <w:spacing w:line="312" w:lineRule="auto"/>
              <w:ind w:firstLine="539" w:firstLineChars="245"/>
              <w:rPr>
                <w:rFonts w:asciiTheme="minorEastAsia" w:hAnsiTheme="minorEastAsia" w:eastAsiaTheme="minorEastAsia" w:cstheme="minorEastAsia"/>
                <w:bCs/>
                <w:sz w:val="22"/>
                <w:szCs w:val="22"/>
              </w:rPr>
            </w:pPr>
            <w:r>
              <w:rPr>
                <w:rFonts w:hint="eastAsia" w:asciiTheme="minorEastAsia" w:hAnsiTheme="minorEastAsia" w:eastAsiaTheme="minorEastAsia" w:cstheme="minorEastAsia"/>
                <w:bCs/>
                <w:sz w:val="22"/>
                <w:szCs w:val="22"/>
              </w:rPr>
              <w:t>其他情形，按中间插入法计算投标报价得分，保留2位小数。</w:t>
            </w:r>
          </w:p>
          <w:p>
            <w:pPr>
              <w:widowControl w:val="0"/>
              <w:adjustRightInd w:val="0"/>
              <w:snapToGrid w:val="0"/>
              <w:spacing w:line="360" w:lineRule="auto"/>
              <w:ind w:firstLine="220" w:firstLineChars="100"/>
              <w:rPr>
                <w:rFonts w:asciiTheme="minorEastAsia" w:hAnsiTheme="minorEastAsia" w:eastAsiaTheme="minorEastAsia" w:cstheme="minorEastAsia"/>
                <w:sz w:val="22"/>
                <w:szCs w:val="22"/>
              </w:rPr>
            </w:pPr>
          </w:p>
        </w:tc>
        <w:tc>
          <w:tcPr>
            <w:tcW w:w="574" w:type="pc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50分</w:t>
            </w:r>
          </w:p>
        </w:tc>
        <w:tc>
          <w:tcPr>
            <w:tcW w:w="773" w:type="pc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3652" w:type="pct"/>
            <w:gridSpan w:val="3"/>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b/>
                <w:sz w:val="22"/>
                <w:szCs w:val="22"/>
              </w:rPr>
              <w:t>合计</w:t>
            </w:r>
          </w:p>
        </w:tc>
        <w:tc>
          <w:tcPr>
            <w:tcW w:w="574" w:type="pc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sz w:val="22"/>
                <w:szCs w:val="22"/>
              </w:rPr>
            </w:pPr>
            <w:r>
              <w:rPr>
                <w:rFonts w:hint="eastAsia" w:asciiTheme="minorEastAsia" w:hAnsiTheme="minorEastAsia" w:eastAsiaTheme="minorEastAsia" w:cstheme="minorEastAsia"/>
                <w:b/>
                <w:sz w:val="22"/>
                <w:szCs w:val="22"/>
              </w:rPr>
              <w:t>50分</w:t>
            </w:r>
          </w:p>
        </w:tc>
        <w:tc>
          <w:tcPr>
            <w:tcW w:w="773" w:type="pc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jc w:val="center"/>
              <w:rPr>
                <w:rFonts w:asciiTheme="minorEastAsia" w:hAnsiTheme="minorEastAsia" w:eastAsiaTheme="minorEastAsia" w:cstheme="minorEastAsia"/>
                <w:b/>
                <w:sz w:val="22"/>
                <w:szCs w:val="22"/>
              </w:rPr>
            </w:pPr>
          </w:p>
        </w:tc>
      </w:tr>
    </w:tbl>
    <w:p>
      <w:pPr>
        <w:rPr>
          <w:rFonts w:ascii="黑体" w:hAnsi="黑体" w:eastAsia="黑体" w:cs="仿宋"/>
          <w:b/>
          <w:color w:val="000000"/>
          <w:sz w:val="36"/>
          <w:szCs w:val="36"/>
        </w:rPr>
      </w:pPr>
    </w:p>
    <w:p>
      <w:pPr>
        <w:rPr>
          <w:rFonts w:ascii="黑体" w:hAnsi="黑体" w:eastAsia="黑体" w:cs="仿宋"/>
          <w:b/>
          <w:color w:val="000000"/>
          <w:sz w:val="36"/>
          <w:szCs w:val="36"/>
        </w:rPr>
      </w:pPr>
    </w:p>
    <w:p>
      <w:pPr>
        <w:widowControl w:val="0"/>
        <w:spacing w:line="360" w:lineRule="auto"/>
        <w:jc w:val="both"/>
        <w:rPr>
          <w:rFonts w:ascii="宋体" w:hAnsi="宋体"/>
          <w:bCs/>
          <w:sz w:val="24"/>
        </w:rPr>
      </w:pPr>
      <w:r>
        <w:rPr>
          <w:rFonts w:hint="eastAsia" w:ascii="宋体" w:hAnsi="宋体"/>
          <w:sz w:val="24"/>
        </w:rPr>
        <w:t>评审小组</w:t>
      </w:r>
      <w:r>
        <w:rPr>
          <w:rFonts w:ascii="宋体" w:hAnsi="宋体"/>
          <w:sz w:val="24"/>
        </w:rPr>
        <w:t>全体成员签字：</w:t>
      </w:r>
      <w:r>
        <w:rPr>
          <w:rFonts w:hint="eastAsia" w:ascii="宋体" w:hAnsi="宋体"/>
          <w:sz w:val="24"/>
        </w:rPr>
        <w:t xml:space="preserve">                                监督人员签字：</w:t>
      </w:r>
    </w:p>
    <w:p>
      <w:pPr>
        <w:rPr>
          <w:rFonts w:ascii="黑体" w:hAnsi="黑体" w:eastAsia="黑体" w:cs="仿宋"/>
          <w:b/>
          <w:color w:val="000000"/>
          <w:sz w:val="36"/>
          <w:szCs w:val="36"/>
        </w:rPr>
      </w:pPr>
      <w:r>
        <w:rPr>
          <w:rFonts w:hint="eastAsia" w:ascii="黑体" w:hAnsi="黑体" w:eastAsia="黑体" w:cs="仿宋"/>
          <w:b/>
          <w:color w:val="000000"/>
          <w:sz w:val="36"/>
          <w:szCs w:val="36"/>
        </w:rPr>
        <w:br w:type="page"/>
      </w:r>
    </w:p>
    <w:p>
      <w:pPr>
        <w:pStyle w:val="75"/>
        <w:spacing w:line="360" w:lineRule="auto"/>
        <w:ind w:firstLine="0" w:firstLineChars="0"/>
        <w:jc w:val="center"/>
        <w:rPr>
          <w:rFonts w:ascii="黑体" w:hAnsi="黑体" w:eastAsia="黑体" w:cs="仿宋"/>
          <w:b/>
          <w:color w:val="000000"/>
          <w:sz w:val="36"/>
          <w:szCs w:val="36"/>
        </w:rPr>
      </w:pPr>
      <w:r>
        <w:rPr>
          <w:rFonts w:hint="eastAsia" w:ascii="黑体" w:hAnsi="黑体" w:eastAsia="黑体" w:cs="仿宋"/>
          <w:b/>
          <w:color w:val="000000"/>
          <w:sz w:val="36"/>
          <w:szCs w:val="36"/>
        </w:rPr>
        <w:t>第四章  合同条款及格式</w:t>
      </w:r>
    </w:p>
    <w:p>
      <w:pPr>
        <w:pStyle w:val="15"/>
        <w:spacing w:line="360" w:lineRule="auto"/>
        <w:rPr>
          <w:rFonts w:cs="宋体"/>
          <w:b/>
          <w:sz w:val="32"/>
          <w:szCs w:val="32"/>
        </w:rPr>
      </w:pPr>
    </w:p>
    <w:p>
      <w:pPr>
        <w:adjustRightInd w:val="0"/>
        <w:snapToGrid w:val="0"/>
        <w:spacing w:line="360" w:lineRule="auto"/>
        <w:jc w:val="both"/>
        <w:rPr>
          <w:rFonts w:ascii="宋体" w:hAnsi="宋体" w:cs="宋体"/>
          <w:b/>
          <w:bCs/>
          <w:sz w:val="24"/>
        </w:rPr>
      </w:pPr>
      <w:r>
        <w:rPr>
          <w:rFonts w:hint="eastAsia" w:ascii="宋体" w:hAnsi="宋体" w:cs="宋体"/>
          <w:b/>
          <w:bCs/>
          <w:sz w:val="24"/>
        </w:rPr>
        <w:t xml:space="preserve">甲方：（买方）岳阳城陵矶港务有限责任公司 </w:t>
      </w:r>
    </w:p>
    <w:p>
      <w:pPr>
        <w:adjustRightInd w:val="0"/>
        <w:snapToGrid w:val="0"/>
        <w:spacing w:line="360" w:lineRule="auto"/>
        <w:jc w:val="both"/>
        <w:rPr>
          <w:rFonts w:ascii="宋体" w:hAnsi="宋体" w:cs="宋体"/>
          <w:sz w:val="24"/>
        </w:rPr>
      </w:pPr>
      <w:r>
        <w:rPr>
          <w:rFonts w:hint="eastAsia" w:ascii="宋体" w:hAnsi="宋体" w:cs="宋体"/>
          <w:b/>
          <w:bCs/>
          <w:sz w:val="24"/>
        </w:rPr>
        <w:t xml:space="preserve">乙方: （卖方）     </w:t>
      </w:r>
      <w:r>
        <w:rPr>
          <w:rFonts w:hint="eastAsia" w:ascii="宋体" w:hAnsi="宋体" w:cs="宋体"/>
          <w:sz w:val="24"/>
        </w:rPr>
        <w:t xml:space="preserve">                      </w:t>
      </w:r>
    </w:p>
    <w:p>
      <w:pPr>
        <w:numPr>
          <w:ilvl w:val="0"/>
          <w:numId w:val="4"/>
        </w:numPr>
        <w:adjustRightInd w:val="0"/>
        <w:snapToGrid w:val="0"/>
        <w:spacing w:line="360" w:lineRule="auto"/>
        <w:jc w:val="both"/>
        <w:rPr>
          <w:rFonts w:ascii="宋体" w:hAnsi="宋体" w:cs="宋体"/>
          <w:sz w:val="24"/>
        </w:rPr>
      </w:pPr>
      <w:r>
        <w:rPr>
          <w:rFonts w:hint="eastAsia" w:ascii="宋体" w:hAnsi="宋体" w:cs="宋体"/>
          <w:b/>
          <w:sz w:val="24"/>
        </w:rPr>
        <w:t>采购内容</w:t>
      </w:r>
    </w:p>
    <w:p>
      <w:pPr>
        <w:pStyle w:val="15"/>
        <w:ind w:firstLine="480" w:firstLineChars="200"/>
        <w:rPr>
          <w:rFonts w:ascii="宋体" w:hAnsi="宋体" w:cs="宋体"/>
          <w:bCs/>
          <w:sz w:val="24"/>
        </w:rPr>
      </w:pPr>
      <w:r>
        <w:rPr>
          <w:rFonts w:hint="eastAsia" w:ascii="宋体" w:hAnsi="宋体" w:cs="宋体"/>
          <w:bCs/>
          <w:sz w:val="24"/>
        </w:rPr>
        <w:t>见询价公告。</w:t>
      </w:r>
    </w:p>
    <w:p>
      <w:pPr>
        <w:pStyle w:val="16"/>
        <w:rPr>
          <w:rFonts w:ascii="宋体" w:hAnsi="宋体"/>
          <w:b/>
          <w:bCs/>
        </w:rPr>
      </w:pPr>
      <w:r>
        <w:rPr>
          <w:rFonts w:hint="eastAsia" w:ascii="宋体" w:hAnsi="宋体"/>
          <w:bCs/>
        </w:rPr>
        <w:t xml:space="preserve">   </w:t>
      </w:r>
      <w:r>
        <w:rPr>
          <w:rFonts w:hint="eastAsia" w:asciiTheme="minorEastAsia" w:hAnsiTheme="minorEastAsia" w:eastAsiaTheme="minorEastAsia" w:cstheme="minorEastAsia"/>
          <w:bCs/>
        </w:rPr>
        <w:t xml:space="preserve"> </w:t>
      </w:r>
    </w:p>
    <w:p>
      <w:pPr>
        <w:pStyle w:val="16"/>
      </w:pPr>
    </w:p>
    <w:p>
      <w:pPr>
        <w:adjustRightInd w:val="0"/>
        <w:snapToGrid w:val="0"/>
        <w:spacing w:line="360" w:lineRule="auto"/>
        <w:rPr>
          <w:rFonts w:ascii="宋体" w:hAnsi="宋体" w:cs="宋体"/>
          <w:sz w:val="24"/>
        </w:rPr>
      </w:pPr>
      <w:r>
        <w:rPr>
          <w:rFonts w:hint="eastAsia" w:ascii="宋体" w:hAnsi="宋体" w:cs="宋体"/>
          <w:b/>
          <w:sz w:val="24"/>
        </w:rPr>
        <w:t>二、交货期</w:t>
      </w:r>
      <w:r>
        <w:rPr>
          <w:rFonts w:hint="eastAsia" w:ascii="宋体" w:hAnsi="宋体" w:cs="宋体"/>
          <w:sz w:val="24"/>
        </w:rPr>
        <w:t>。</w:t>
      </w:r>
    </w:p>
    <w:p>
      <w:pPr>
        <w:adjustRightInd w:val="0"/>
        <w:snapToGrid w:val="0"/>
        <w:spacing w:line="360" w:lineRule="auto"/>
        <w:ind w:firstLine="482"/>
        <w:rPr>
          <w:rFonts w:ascii="宋体" w:hAnsi="宋体" w:cs="宋体"/>
          <w:sz w:val="24"/>
        </w:rPr>
      </w:pPr>
      <w:r>
        <w:rPr>
          <w:rFonts w:hint="eastAsia" w:ascii="宋体" w:hAnsi="宋体" w:cs="宋体"/>
          <w:sz w:val="24"/>
        </w:rPr>
        <w:t>合同签订后50个日历日内交货。</w:t>
      </w:r>
    </w:p>
    <w:p>
      <w:pPr>
        <w:spacing w:line="360" w:lineRule="auto"/>
        <w:rPr>
          <w:rFonts w:ascii="宋体" w:hAnsi="宋体" w:cs="宋体"/>
          <w:sz w:val="24"/>
        </w:rPr>
      </w:pPr>
      <w:r>
        <w:rPr>
          <w:rFonts w:hint="eastAsia" w:ascii="宋体" w:hAnsi="宋体" w:cs="宋体"/>
          <w:b/>
          <w:bCs/>
          <w:sz w:val="24"/>
        </w:rPr>
        <w:t>三、交（提）货地点、方式：</w:t>
      </w:r>
      <w:r>
        <w:rPr>
          <w:rFonts w:hint="eastAsia" w:ascii="宋体" w:hAnsi="宋体" w:cs="宋体"/>
          <w:sz w:val="24"/>
        </w:rPr>
        <w:t>由卖方负责运输到</w:t>
      </w:r>
      <w:r>
        <w:rPr>
          <w:rFonts w:hint="eastAsia" w:ascii="宋体" w:hAnsi="宋体" w:cs="宋体"/>
          <w:sz w:val="24"/>
          <w:u w:val="single"/>
        </w:rPr>
        <w:t>湖南省岳阳市</w:t>
      </w:r>
      <w:r>
        <w:rPr>
          <w:rFonts w:hint="eastAsia" w:ascii="宋体" w:hAnsi="宋体" w:cs="宋体"/>
          <w:sz w:val="24"/>
          <w:u w:val="single"/>
          <w:lang w:eastAsia="zh-CN"/>
        </w:rPr>
        <w:t>云溪区沿江路</w:t>
      </w:r>
      <w:r>
        <w:rPr>
          <w:rFonts w:hint="eastAsia" w:ascii="宋体" w:hAnsi="宋体" w:cs="宋体"/>
          <w:sz w:val="24"/>
          <w:u w:val="single"/>
          <w:lang w:val="en-US" w:eastAsia="zh-CN"/>
        </w:rPr>
        <w:t xml:space="preserve"> 岳阳城陵矶</w:t>
      </w:r>
      <w:r>
        <w:rPr>
          <w:rFonts w:hint="eastAsia" w:asciiTheme="minorEastAsia" w:hAnsiTheme="minorEastAsia" w:eastAsiaTheme="minorEastAsia" w:cstheme="minorEastAsia"/>
          <w:b w:val="0"/>
          <w:bCs w:val="0"/>
          <w:color w:val="auto"/>
          <w:sz w:val="24"/>
          <w:szCs w:val="24"/>
          <w:highlight w:val="none"/>
          <w:u w:val="single"/>
        </w:rPr>
        <w:t>新港有限责任公司机房</w:t>
      </w:r>
      <w:r>
        <w:rPr>
          <w:rFonts w:hint="eastAsia" w:ascii="宋体" w:hAnsi="宋体" w:cs="宋体"/>
          <w:sz w:val="24"/>
        </w:rPr>
        <w:t>签收，</w:t>
      </w:r>
      <w:r>
        <w:rPr>
          <w:rFonts w:hint="eastAsia" w:ascii="宋体" w:hAnsi="宋体" w:cs="宋体"/>
          <w:color w:val="000000"/>
          <w:sz w:val="24"/>
        </w:rPr>
        <w:t>签收人：方舒玲。</w:t>
      </w:r>
      <w:r>
        <w:rPr>
          <w:rFonts w:hint="eastAsia" w:ascii="宋体" w:hAnsi="宋体" w:cs="宋体"/>
          <w:sz w:val="24"/>
        </w:rPr>
        <w:t>联系电话：13786031314。</w:t>
      </w:r>
    </w:p>
    <w:p>
      <w:pPr>
        <w:spacing w:line="360" w:lineRule="auto"/>
        <w:rPr>
          <w:rFonts w:ascii="宋体" w:hAnsi="宋体" w:cs="宋体"/>
          <w:bCs/>
          <w:sz w:val="24"/>
        </w:rPr>
      </w:pPr>
      <w:r>
        <w:rPr>
          <w:rFonts w:hint="eastAsia" w:ascii="宋体" w:hAnsi="宋体" w:cs="宋体"/>
          <w:b/>
          <w:bCs/>
          <w:sz w:val="24"/>
        </w:rPr>
        <w:t>四、质量要求及售后服务：</w:t>
      </w:r>
      <w:r>
        <w:rPr>
          <w:rFonts w:hint="eastAsia" w:ascii="宋体" w:hAnsi="宋体" w:cs="宋体"/>
          <w:bCs/>
          <w:sz w:val="24"/>
        </w:rPr>
        <w:t>质保期三年，质保期内非人为损坏免费维修更换，并免费提供可靠适用的配件备用。</w:t>
      </w:r>
    </w:p>
    <w:p>
      <w:pPr>
        <w:spacing w:line="360" w:lineRule="auto"/>
        <w:rPr>
          <w:rFonts w:ascii="宋体" w:hAnsi="宋体" w:cs="宋体"/>
          <w:bCs/>
          <w:sz w:val="24"/>
          <w:u w:val="single"/>
        </w:rPr>
      </w:pPr>
      <w:r>
        <w:rPr>
          <w:rFonts w:hint="eastAsia" w:ascii="宋体" w:hAnsi="宋体" w:cs="宋体"/>
          <w:b/>
          <w:bCs/>
          <w:sz w:val="24"/>
        </w:rPr>
        <w:t>五、产品的包装标准、包装物的供应与回收：</w:t>
      </w:r>
      <w:r>
        <w:rPr>
          <w:rFonts w:hint="eastAsia" w:ascii="宋体" w:hAnsi="宋体" w:cs="宋体"/>
          <w:bCs/>
          <w:sz w:val="24"/>
        </w:rPr>
        <w:t>中性包装、不回收 。</w:t>
      </w:r>
    </w:p>
    <w:p>
      <w:pPr>
        <w:spacing w:line="360" w:lineRule="auto"/>
        <w:rPr>
          <w:rFonts w:ascii="宋体" w:hAnsi="宋体" w:cs="宋体"/>
          <w:b/>
          <w:bCs/>
          <w:sz w:val="24"/>
        </w:rPr>
      </w:pPr>
      <w:r>
        <w:rPr>
          <w:rFonts w:hint="eastAsia" w:ascii="宋体" w:hAnsi="宋体" w:cs="宋体"/>
          <w:b/>
          <w:bCs/>
          <w:sz w:val="24"/>
        </w:rPr>
        <w:t>六、供应要求：</w:t>
      </w:r>
      <w:r>
        <w:rPr>
          <w:rFonts w:hint="eastAsia" w:ascii="宋体" w:hAnsi="宋体" w:cs="宋体"/>
          <w:sz w:val="24"/>
        </w:rPr>
        <w:t>卖方提供的产品应包括维护使用培训服务；</w:t>
      </w:r>
      <w:r>
        <w:rPr>
          <w:rFonts w:hint="eastAsia" w:ascii="宋体" w:hAnsi="宋体" w:cs="宋体"/>
          <w:bCs/>
          <w:sz w:val="24"/>
        </w:rPr>
        <w:t>负责提供产品合格证、检测报告、说明书</w:t>
      </w:r>
      <w:r>
        <w:rPr>
          <w:rFonts w:hint="eastAsia" w:ascii="宋体" w:hAnsi="宋体" w:cs="宋体"/>
          <w:sz w:val="24"/>
        </w:rPr>
        <w:t>等</w:t>
      </w:r>
      <w:r>
        <w:rPr>
          <w:rFonts w:hint="eastAsia" w:ascii="宋体" w:hAnsi="宋体" w:cs="宋体"/>
          <w:bCs/>
          <w:sz w:val="24"/>
        </w:rPr>
        <w:t>。</w:t>
      </w:r>
    </w:p>
    <w:p>
      <w:pPr>
        <w:spacing w:line="360" w:lineRule="auto"/>
        <w:rPr>
          <w:rFonts w:ascii="宋体" w:hAnsi="宋体" w:cs="宋体"/>
          <w:bCs/>
          <w:sz w:val="24"/>
        </w:rPr>
      </w:pPr>
      <w:r>
        <w:rPr>
          <w:rFonts w:hint="eastAsia" w:ascii="宋体" w:hAnsi="宋体" w:cs="宋体"/>
          <w:b/>
          <w:bCs/>
          <w:sz w:val="24"/>
        </w:rPr>
        <w:t>七、合理损耗及计算方法：</w:t>
      </w:r>
      <w:r>
        <w:rPr>
          <w:rFonts w:hint="eastAsia" w:ascii="宋体" w:hAnsi="宋体" w:cs="宋体"/>
          <w:bCs/>
          <w:sz w:val="24"/>
        </w:rPr>
        <w:t>本产品正常情况下无损耗。如在验收前发生货损均由卖方负责。</w:t>
      </w:r>
    </w:p>
    <w:p>
      <w:pPr>
        <w:adjustRightInd w:val="0"/>
        <w:snapToGrid w:val="0"/>
        <w:spacing w:line="360" w:lineRule="auto"/>
        <w:rPr>
          <w:rFonts w:ascii="宋体" w:hAnsi="宋体" w:cs="宋体"/>
          <w:bCs/>
          <w:sz w:val="24"/>
        </w:rPr>
      </w:pPr>
      <w:r>
        <w:rPr>
          <w:rFonts w:hint="eastAsia" w:ascii="宋体" w:hAnsi="宋体" w:cs="宋体"/>
          <w:b/>
          <w:bCs/>
          <w:sz w:val="24"/>
        </w:rPr>
        <w:t>八、验收：</w:t>
      </w:r>
      <w:r>
        <w:rPr>
          <w:rFonts w:hint="eastAsia" w:ascii="宋体" w:hAnsi="宋体" w:cs="宋体"/>
          <w:sz w:val="24"/>
        </w:rPr>
        <w:t>卖方提供的超融合服务器应满足询价文件的技术要求；</w:t>
      </w:r>
      <w:r>
        <w:rPr>
          <w:rFonts w:hint="eastAsia" w:ascii="宋体" w:hAnsi="宋体" w:cs="宋体"/>
          <w:color w:val="000000"/>
          <w:sz w:val="24"/>
        </w:rPr>
        <w:t>货物送达买方后，由卖方负责安装调试，其中包括：架构搭建、系统迁移、数据迁移、网络调试、系统上线测试、桌面虚拟系统搭建，并优化数据中心设备与架构等。要求中标供应商提供着实有效的设计方案和实施方案，并具有经验工程师（主机、网络、数据库、虚拟化系统）驻场服务，系统稳定后方可离场；卖方提供产品检验合格证，调试运用正常后，卖买双方根据上述验收标准进行验收并签字确认</w:t>
      </w:r>
      <w:r>
        <w:rPr>
          <w:rFonts w:hint="eastAsia" w:ascii="宋体" w:hAnsi="宋体" w:cs="宋体"/>
          <w:sz w:val="24"/>
        </w:rPr>
        <w:t>。</w:t>
      </w:r>
    </w:p>
    <w:p>
      <w:pPr>
        <w:spacing w:line="360" w:lineRule="auto"/>
        <w:rPr>
          <w:rFonts w:ascii="宋体" w:hAnsi="宋体" w:cs="宋体"/>
          <w:sz w:val="24"/>
        </w:rPr>
      </w:pPr>
      <w:r>
        <w:rPr>
          <w:rFonts w:hint="eastAsia" w:ascii="宋体" w:hAnsi="宋体" w:cs="宋体"/>
          <w:b/>
          <w:bCs/>
          <w:sz w:val="24"/>
        </w:rPr>
        <w:t>九、</w:t>
      </w:r>
      <w:r>
        <w:rPr>
          <w:rFonts w:hint="eastAsia" w:ascii="宋体" w:hAnsi="宋体" w:cs="宋体"/>
          <w:sz w:val="24"/>
        </w:rPr>
        <w:t>付款方式及期限：1、合同签订后</w:t>
      </w:r>
      <w:r>
        <w:rPr>
          <w:rFonts w:hint="eastAsia" w:ascii="宋体" w:hAnsi="宋体" w:cs="宋体"/>
          <w:sz w:val="24"/>
          <w:lang w:eastAsia="zh-CN"/>
        </w:rPr>
        <w:t>产品</w:t>
      </w:r>
      <w:r>
        <w:rPr>
          <w:rFonts w:hint="eastAsia" w:ascii="宋体" w:hAnsi="宋体" w:cs="宋体"/>
          <w:sz w:val="24"/>
        </w:rPr>
        <w:t>验收合格且乙方开具13%增值税发票后一个月内支付合同总额的97%；余款3%留作质保金，无质量问题质保期到期日后5个工作日内无息付清。2、付款方式</w:t>
      </w:r>
      <w:r>
        <w:rPr>
          <w:rFonts w:hint="eastAsia" w:ascii="宋体" w:hAnsi="宋体" w:cs="宋体"/>
          <w:sz w:val="24"/>
          <w:lang w:eastAsia="zh-CN"/>
        </w:rPr>
        <w:t>优先</w:t>
      </w:r>
      <w:r>
        <w:rPr>
          <w:rFonts w:hint="eastAsia" w:ascii="宋体" w:hAnsi="宋体" w:cs="宋体"/>
          <w:sz w:val="24"/>
        </w:rPr>
        <w:t>银行电子承兑。</w:t>
      </w:r>
    </w:p>
    <w:p>
      <w:pPr>
        <w:spacing w:line="360" w:lineRule="auto"/>
        <w:rPr>
          <w:rFonts w:ascii="宋体" w:hAnsi="宋体" w:cs="宋体"/>
          <w:sz w:val="24"/>
        </w:rPr>
      </w:pPr>
      <w:r>
        <w:rPr>
          <w:rFonts w:hint="eastAsia" w:ascii="宋体" w:hAnsi="宋体" w:cs="宋体"/>
          <w:b/>
          <w:bCs/>
          <w:sz w:val="24"/>
        </w:rPr>
        <w:t>十、</w:t>
      </w:r>
      <w:r>
        <w:rPr>
          <w:rFonts w:hint="eastAsia" w:ascii="宋体" w:hAnsi="宋体" w:cs="宋体"/>
          <w:sz w:val="24"/>
        </w:rPr>
        <w:t>标的物所有权：自甲乙双方合同生效日开始，甲方付清总货款的97%之日起转移，产品所有权属于甲方所有。</w:t>
      </w:r>
    </w:p>
    <w:p>
      <w:pPr>
        <w:spacing w:line="360" w:lineRule="auto"/>
        <w:rPr>
          <w:rFonts w:ascii="宋体" w:hAnsi="宋体" w:cs="宋体"/>
          <w:sz w:val="24"/>
        </w:rPr>
      </w:pPr>
      <w:r>
        <w:rPr>
          <w:rFonts w:hint="eastAsia" w:ascii="宋体" w:hAnsi="宋体" w:cs="宋体"/>
          <w:b/>
          <w:bCs/>
          <w:sz w:val="24"/>
        </w:rPr>
        <w:t>十一、</w:t>
      </w:r>
      <w:r>
        <w:rPr>
          <w:rFonts w:hint="eastAsia" w:ascii="宋体" w:hAnsi="宋体" w:cs="宋体"/>
          <w:sz w:val="24"/>
        </w:rPr>
        <w:t>违约责任：1、乙方延期交货的，每延期一日按照合同总价款的千分之五承担违约责任，违约金总额不超过合同总价款的百分之五；延期交货日超过15日，甲方有权单方面解决合同，乙方需承担延期造成的相应损失（以甲方核算的实际损失为准）。2、甲方逾期付款，每逾期一日向乙方支付合同总价千分之五违约金，违约金总额不超过合同总价的百分之五。3、</w:t>
      </w:r>
      <w:r>
        <w:rPr>
          <w:rFonts w:hint="eastAsia" w:ascii="宋体" w:hAnsi="宋体" w:cs="宋体"/>
          <w:sz w:val="24"/>
          <w:lang w:eastAsia="zh-CN"/>
        </w:rPr>
        <w:t>产品</w:t>
      </w:r>
      <w:r>
        <w:rPr>
          <w:rFonts w:hint="eastAsia" w:ascii="宋体" w:hAnsi="宋体" w:cs="宋体"/>
          <w:sz w:val="24"/>
        </w:rPr>
        <w:t>质量瑕疵的违约责任：在质量保证期内，</w:t>
      </w:r>
      <w:r>
        <w:rPr>
          <w:rFonts w:hint="eastAsia" w:ascii="宋体" w:hAnsi="宋体" w:cs="宋体"/>
          <w:sz w:val="24"/>
          <w:lang w:eastAsia="zh-CN"/>
        </w:rPr>
        <w:t>产品</w:t>
      </w:r>
      <w:r>
        <w:rPr>
          <w:rFonts w:hint="eastAsia" w:ascii="宋体" w:hAnsi="宋体" w:cs="宋体"/>
          <w:sz w:val="24"/>
        </w:rPr>
        <w:t>如有质量问题，乙方在接到买方通知后12小时内到达现场，对其提供质量包换服务。4、如供应的</w:t>
      </w:r>
      <w:r>
        <w:rPr>
          <w:rFonts w:hint="eastAsia" w:ascii="宋体" w:hAnsi="宋体" w:cs="宋体"/>
          <w:sz w:val="24"/>
          <w:lang w:eastAsia="zh-CN"/>
        </w:rPr>
        <w:t>产品</w:t>
      </w:r>
      <w:r>
        <w:rPr>
          <w:rFonts w:hint="eastAsia" w:ascii="宋体" w:hAnsi="宋体" w:cs="宋体"/>
          <w:sz w:val="24"/>
        </w:rPr>
        <w:t>有以次充好、伪造、仿冒的情形，乙方应无条件退货，并赔偿甲方因此造成的直接损失；如乙方为供货前明知或应知该情形的，甲方可处以货物总价20%以下的罚款，并保留进一步追诉的权利。</w:t>
      </w:r>
    </w:p>
    <w:p>
      <w:pPr>
        <w:spacing w:line="360" w:lineRule="auto"/>
        <w:rPr>
          <w:rFonts w:ascii="宋体" w:hAnsi="宋体" w:cs="宋体"/>
          <w:sz w:val="24"/>
          <w:u w:val="single"/>
        </w:rPr>
      </w:pPr>
      <w:r>
        <w:rPr>
          <w:rFonts w:hint="eastAsia" w:ascii="宋体" w:hAnsi="宋体" w:cs="宋体"/>
          <w:b/>
          <w:bCs/>
          <w:sz w:val="24"/>
        </w:rPr>
        <w:t>十二、</w:t>
      </w:r>
      <w:r>
        <w:rPr>
          <w:rFonts w:hint="eastAsia" w:ascii="宋体" w:hAnsi="宋体" w:cs="宋体"/>
          <w:sz w:val="24"/>
        </w:rPr>
        <w:t>解决合同纠纷的方式：因本合同的签订或履行发生争议的，双方应友好协商解决，协商不成的，可以向合同签订地所管辖的法院起诉，通过诉讼方式解决争议。</w:t>
      </w:r>
    </w:p>
    <w:p>
      <w:pPr>
        <w:spacing w:line="360" w:lineRule="auto"/>
        <w:rPr>
          <w:rFonts w:ascii="宋体" w:hAnsi="宋体" w:cs="宋体"/>
          <w:sz w:val="24"/>
        </w:rPr>
      </w:pPr>
      <w:r>
        <w:rPr>
          <w:rFonts w:hint="eastAsia" w:ascii="宋体" w:hAnsi="宋体" w:cs="宋体"/>
          <w:b/>
          <w:bCs/>
          <w:sz w:val="24"/>
        </w:rPr>
        <w:t>十三、</w:t>
      </w:r>
      <w:r>
        <w:rPr>
          <w:rFonts w:hint="eastAsia" w:ascii="宋体" w:hAnsi="宋体" w:cs="宋体"/>
          <w:sz w:val="24"/>
        </w:rPr>
        <w:t>其它约定事项：1、本合同经双方签字盖章生效，一式四份，双方各执两份。2、本合同所附技术协议与本合同具有相同法律效力。3、交货期自合同签订日起开始计算。4、乙方拥有合同内产品的对外宣传权。5、本合同有效期自2023年  月  日自2023年  月 日止。</w:t>
      </w:r>
    </w:p>
    <w:p>
      <w:pPr>
        <w:spacing w:line="360" w:lineRule="auto"/>
        <w:ind w:firstLine="600"/>
        <w:rPr>
          <w:rFonts w:ascii="宋体" w:hAnsi="宋体" w:cs="宋体"/>
          <w:sz w:val="24"/>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甲方（章）岳阳城陵矶港务有限责任公司    乙方（章）</w:t>
      </w:r>
    </w:p>
    <w:p>
      <w:pPr>
        <w:spacing w:line="360" w:lineRule="auto"/>
        <w:rPr>
          <w:rFonts w:ascii="宋体" w:hAnsi="宋体" w:cs="宋体"/>
          <w:sz w:val="24"/>
        </w:rPr>
      </w:pPr>
      <w:r>
        <w:rPr>
          <w:rFonts w:hint="eastAsia" w:ascii="宋体" w:hAnsi="宋体" w:cs="宋体"/>
          <w:sz w:val="24"/>
        </w:rPr>
        <w:t xml:space="preserve">法定代表人：                         　 法定代表人： </w:t>
      </w:r>
    </w:p>
    <w:p>
      <w:pPr>
        <w:spacing w:line="360" w:lineRule="auto"/>
        <w:rPr>
          <w:rFonts w:ascii="宋体" w:hAnsi="宋体" w:cs="宋体"/>
          <w:sz w:val="24"/>
        </w:rPr>
      </w:pPr>
      <w:r>
        <w:rPr>
          <w:rFonts w:hint="eastAsia" w:ascii="宋体" w:hAnsi="宋体" w:cs="宋体"/>
          <w:sz w:val="24"/>
        </w:rPr>
        <w:t>委托代理人：　　　　　　　　　　　　　　委托代理人：</w:t>
      </w:r>
    </w:p>
    <w:p>
      <w:pPr>
        <w:spacing w:line="360" w:lineRule="auto"/>
        <w:rPr>
          <w:rFonts w:ascii="宋体" w:hAnsi="宋体" w:cs="宋体"/>
          <w:sz w:val="24"/>
        </w:rPr>
      </w:pPr>
      <w:r>
        <w:rPr>
          <w:rFonts w:hint="eastAsia" w:ascii="宋体" w:hAnsi="宋体" w:cs="宋体"/>
          <w:sz w:val="24"/>
        </w:rPr>
        <w:t xml:space="preserve">税号：914306001860828836                税号： </w:t>
      </w:r>
    </w:p>
    <w:p>
      <w:pPr>
        <w:spacing w:line="360" w:lineRule="auto"/>
        <w:rPr>
          <w:rFonts w:ascii="宋体" w:hAnsi="宋体" w:cs="宋体"/>
          <w:sz w:val="24"/>
        </w:rPr>
      </w:pPr>
      <w:r>
        <w:rPr>
          <w:rFonts w:hint="eastAsia" w:ascii="宋体" w:hAnsi="宋体" w:cs="宋体"/>
          <w:sz w:val="24"/>
        </w:rPr>
        <w:t xml:space="preserve">开户银行：岳阳市建行城陵矶支行          开户银行： </w:t>
      </w:r>
    </w:p>
    <w:p>
      <w:pPr>
        <w:spacing w:line="360" w:lineRule="auto"/>
        <w:rPr>
          <w:rFonts w:ascii="宋体" w:hAnsi="宋体" w:cs="宋体"/>
          <w:sz w:val="24"/>
        </w:rPr>
      </w:pPr>
      <w:r>
        <w:rPr>
          <w:rFonts w:hint="eastAsia" w:ascii="宋体" w:hAnsi="宋体" w:cs="宋体"/>
          <w:sz w:val="24"/>
        </w:rPr>
        <w:t>账号：4350066050000703   　　　　　　 　账号：</w:t>
      </w:r>
    </w:p>
    <w:p>
      <w:pPr>
        <w:spacing w:line="360" w:lineRule="auto"/>
        <w:rPr>
          <w:rFonts w:ascii="宋体" w:hAnsi="宋体" w:cs="宋体"/>
          <w:sz w:val="24"/>
        </w:rPr>
      </w:pPr>
      <w:r>
        <w:rPr>
          <w:rFonts w:hint="eastAsia" w:ascii="宋体" w:hAnsi="宋体" w:cs="宋体"/>
          <w:sz w:val="24"/>
        </w:rPr>
        <w:t xml:space="preserve">地址：湖南省岳阳市城陵矶长江路2号      地址： </w:t>
      </w:r>
    </w:p>
    <w:p>
      <w:pPr>
        <w:spacing w:line="360" w:lineRule="auto"/>
        <w:rPr>
          <w:rFonts w:ascii="宋体" w:hAnsi="宋体" w:cs="宋体"/>
          <w:sz w:val="24"/>
        </w:rPr>
      </w:pPr>
      <w:r>
        <w:rPr>
          <w:rFonts w:hint="eastAsia" w:ascii="宋体" w:hAnsi="宋体" w:cs="宋体"/>
          <w:sz w:val="24"/>
        </w:rPr>
        <w:t>电话号码： 07308592334                  电话号码：</w:t>
      </w:r>
    </w:p>
    <w:p>
      <w:pPr>
        <w:spacing w:line="360" w:lineRule="auto"/>
        <w:rPr>
          <w:rFonts w:ascii="宋体" w:hAnsi="宋体" w:cs="宋体"/>
          <w:sz w:val="24"/>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日期： 2023年  月  日                  日期：2023年 月 日</w:t>
      </w:r>
    </w:p>
    <w:p>
      <w:pPr>
        <w:pStyle w:val="15"/>
        <w:spacing w:line="360" w:lineRule="auto"/>
        <w:rPr>
          <w:rFonts w:cs="宋体"/>
          <w:sz w:val="28"/>
          <w:szCs w:val="28"/>
        </w:rPr>
      </w:pPr>
    </w:p>
    <w:p>
      <w:pPr>
        <w:pStyle w:val="16"/>
      </w:pPr>
    </w:p>
    <w:p>
      <w:pPr>
        <w:spacing w:line="360" w:lineRule="auto"/>
        <w:jc w:val="both"/>
        <w:rPr>
          <w:rFonts w:ascii="黑体" w:hAnsi="黑体" w:eastAsia="黑体" w:cs="仿宋"/>
          <w:b/>
          <w:color w:val="000000"/>
          <w:sz w:val="36"/>
          <w:szCs w:val="36"/>
        </w:rPr>
      </w:pPr>
    </w:p>
    <w:p>
      <w:pPr>
        <w:spacing w:line="360" w:lineRule="auto"/>
        <w:jc w:val="center"/>
        <w:rPr>
          <w:rFonts w:ascii="黑体" w:hAnsi="黑体" w:eastAsia="黑体" w:cs="仿宋"/>
          <w:b/>
          <w:sz w:val="36"/>
          <w:szCs w:val="36"/>
        </w:rPr>
      </w:pPr>
      <w:r>
        <w:rPr>
          <w:rFonts w:hint="eastAsia" w:ascii="黑体" w:hAnsi="黑体" w:eastAsia="黑体" w:cs="仿宋"/>
          <w:b/>
          <w:sz w:val="36"/>
          <w:szCs w:val="36"/>
        </w:rPr>
        <w:t>超融合服务器采购需求</w:t>
      </w:r>
    </w:p>
    <w:p>
      <w:pPr>
        <w:pStyle w:val="15"/>
      </w:pPr>
    </w:p>
    <w:p>
      <w:pPr>
        <w:autoSpaceDE w:val="0"/>
        <w:autoSpaceDN w:val="0"/>
        <w:adjustRightInd w:val="0"/>
        <w:spacing w:after="240" w:line="520" w:lineRule="atLeas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 项目概况</w:t>
      </w:r>
    </w:p>
    <w:p>
      <w:pPr>
        <w:autoSpaceDE w:val="0"/>
        <w:autoSpaceDN w:val="0"/>
        <w:adjustRightInd w:val="0"/>
        <w:spacing w:after="240" w:line="420" w:lineRule="atLeast"/>
        <w:ind w:firstLine="436" w:firstLineChars="18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1.1项目背景</w:t>
      </w:r>
    </w:p>
    <w:p>
      <w:pPr>
        <w:autoSpaceDE w:val="0"/>
        <w:autoSpaceDN w:val="0"/>
        <w:adjustRightInd w:val="0"/>
        <w:spacing w:line="312" w:lineRule="auto"/>
        <w:ind w:firstLine="441" w:firstLineChars="184"/>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岳阳城陵矶港务有限责任公司(以下简称城港公司)大力推进“四化”项目建设，紧紧围绕“减员降本增效”，着力改造生产现场和操作工艺。随着生产管理（件杂）系统、财务系统、OA办公系统、皮带机控制系统、装车机控制系统、铁路调度系统等核心系统陆续上线投入使用，业务信息化程度越来越高，而后台服务器、数据存储、网络交换、信息安全等配套设备长期未更新投入，现已面临极大的压力。</w:t>
      </w:r>
    </w:p>
    <w:p>
      <w:pPr>
        <w:autoSpaceDE w:val="0"/>
        <w:autoSpaceDN w:val="0"/>
        <w:adjustRightInd w:val="0"/>
        <w:spacing w:line="312" w:lineRule="auto"/>
        <w:ind w:firstLine="436" w:firstLineChars="18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按照集团信息化统一规划，遵循应用系统分级管理原则，本次设备采购服务于城港公司现场生产。网络安全是开展信息化工作的基础，防止病毒侵入是保障网络安全的重要举措，为积极响应集团网络安全管理要求，加强成员企业网络安全管理迫在眉睫。</w:t>
      </w:r>
    </w:p>
    <w:p>
      <w:pPr>
        <w:autoSpaceDE w:val="0"/>
        <w:autoSpaceDN w:val="0"/>
        <w:adjustRightInd w:val="0"/>
        <w:spacing w:line="312" w:lineRule="auto"/>
        <w:ind w:firstLine="436" w:firstLineChars="182"/>
        <w:rPr>
          <w:rFonts w:asciiTheme="minorEastAsia" w:hAnsiTheme="minorEastAsia" w:eastAsiaTheme="minorEastAsia" w:cstheme="minorEastAsia"/>
          <w:sz w:val="24"/>
        </w:rPr>
      </w:pPr>
    </w:p>
    <w:p>
      <w:pPr>
        <w:autoSpaceDE w:val="0"/>
        <w:autoSpaceDN w:val="0"/>
        <w:adjustRightInd w:val="0"/>
        <w:spacing w:line="312"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1.2建设需求</w:t>
      </w:r>
    </w:p>
    <w:p>
      <w:pPr>
        <w:autoSpaceDE w:val="0"/>
        <w:autoSpaceDN w:val="0"/>
        <w:adjustRightInd w:val="0"/>
        <w:spacing w:line="312" w:lineRule="auto"/>
        <w:ind w:firstLine="424" w:firstLineChars="177"/>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1.2.1更好的服务于生产，做好计算、数据、服务、网络、机房设备供电保障，提高技术对生产业务支撑的贡献度，推动企业由劳动密集型向技术密集型和资本密集型转变。</w:t>
      </w:r>
    </w:p>
    <w:p>
      <w:pPr>
        <w:autoSpaceDE w:val="0"/>
        <w:autoSpaceDN w:val="0"/>
        <w:adjustRightInd w:val="0"/>
        <w:spacing w:line="312" w:lineRule="auto"/>
        <w:ind w:firstLine="424" w:firstLineChars="177"/>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1.2.2综合统筹各类应用系统需求，充分考虑数据大集中、多业务整合发展目标，满足各系统之间的数据共享、实时交互与业务连续性，确保提供24小时不间断的系统计算、网络交换、数据存储等服务，高效支撑核心系统运行，避免低水平重复投入。</w:t>
      </w:r>
    </w:p>
    <w:p>
      <w:pPr>
        <w:autoSpaceDE w:val="0"/>
        <w:autoSpaceDN w:val="0"/>
        <w:adjustRightInd w:val="0"/>
        <w:spacing w:line="312" w:lineRule="auto"/>
        <w:ind w:firstLine="530" w:firstLineChars="22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1.2.3为保障信息系统的正常运行，确保数据安全，全面分析网络安全需求，部署网络安全设备，提高信息系统对现场生产作业的保障和支持度。</w:t>
      </w:r>
    </w:p>
    <w:p>
      <w:pPr>
        <w:autoSpaceDE w:val="0"/>
        <w:autoSpaceDN w:val="0"/>
        <w:adjustRightInd w:val="0"/>
        <w:spacing w:line="312" w:lineRule="auto"/>
        <w:ind w:firstLine="530" w:firstLineChars="22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1.2.4实施安装服务包括基础设施安装服务、支撑软件安装服务、业务应用安装服务、信息安全实施及测评服务。</w:t>
      </w:r>
    </w:p>
    <w:p>
      <w:pPr>
        <w:autoSpaceDE w:val="0"/>
        <w:autoSpaceDN w:val="0"/>
        <w:adjustRightInd w:val="0"/>
        <w:spacing w:line="312" w:lineRule="auto"/>
        <w:ind w:firstLine="530" w:firstLineChars="221"/>
        <w:rPr>
          <w:sz w:val="24"/>
        </w:rPr>
      </w:pPr>
      <w:r>
        <w:rPr>
          <w:rFonts w:hint="eastAsia" w:asciiTheme="minorEastAsia" w:hAnsiTheme="minorEastAsia" w:eastAsiaTheme="minorEastAsia" w:cstheme="minorEastAsia"/>
          <w:sz w:val="24"/>
        </w:rPr>
        <w:t>1.2.5应用部署迁移服务包括应用部署和数据迁移两类服务。应用部署服务包括部署设计服务、部署验证服务、部署实施服务;业务迁移服务包括迁移设计服务、数据迁移服务、业务系统迁移服务，本次硬件主机设施为超融合服务器，所有业务与数据库均部署到该平台，供应商需对此做详细描述，以及如何合理利旧现有设备。包括</w:t>
      </w:r>
      <w:r>
        <w:rPr>
          <w:rFonts w:hint="eastAsia"/>
          <w:sz w:val="24"/>
        </w:rPr>
        <w:t xml:space="preserve">迁移城陵矶港生产管理系统、铁运管理系统等，采购方提供配合支持。 </w:t>
      </w:r>
    </w:p>
    <w:p>
      <w:pPr>
        <w:autoSpaceDE w:val="0"/>
        <w:autoSpaceDN w:val="0"/>
        <w:adjustRightInd w:val="0"/>
        <w:spacing w:line="312"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1.2.6运行保障服务包括云平台管理的各项资源监测、资源配置、资源优化、服务监控、事件处理、运维流程、日常巡检、备份恢复、应急预案管理、服务质量监督和报告等服务。</w:t>
      </w:r>
    </w:p>
    <w:p>
      <w:pPr>
        <w:autoSpaceDE w:val="0"/>
        <w:autoSpaceDN w:val="0"/>
        <w:adjustRightInd w:val="0"/>
        <w:spacing w:line="312" w:lineRule="auto"/>
        <w:rPr>
          <w:rFonts w:hint="eastAsia" w:asciiTheme="minorEastAsia" w:hAnsiTheme="minorEastAsia" w:eastAsiaTheme="minorEastAsia" w:cstheme="minorEastAsia"/>
          <w:sz w:val="24"/>
        </w:rPr>
      </w:pPr>
    </w:p>
    <w:p>
      <w:pPr>
        <w:autoSpaceDE w:val="0"/>
        <w:autoSpaceDN w:val="0"/>
        <w:adjustRightInd w:val="0"/>
        <w:spacing w:line="312"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 项目要求</w:t>
      </w:r>
    </w:p>
    <w:p>
      <w:pPr>
        <w:autoSpaceDE w:val="0"/>
        <w:autoSpaceDN w:val="0"/>
        <w:adjustRightInd w:val="0"/>
        <w:spacing w:line="312" w:lineRule="auto"/>
        <w:ind w:firstLine="530" w:firstLineChars="22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项目为云转地“交钥匙”项目，包括（但不限于）：架构搭建、系统迁移、数据迁移、网络调试、系统上线测试、桌面虚拟系统搭建，并优化数据中心设备与架构等。项目完成后应能保证设备正常运行、功能正常发挥。不得因清单未列明的硬件或事项追加费用。</w:t>
      </w:r>
      <w:r>
        <w:rPr>
          <w:rFonts w:hint="eastAsia"/>
          <w:sz w:val="24"/>
        </w:rPr>
        <w:t>采购方和云端运营商提供技术支持。</w:t>
      </w:r>
    </w:p>
    <w:p>
      <w:pPr>
        <w:autoSpaceDE w:val="0"/>
        <w:autoSpaceDN w:val="0"/>
        <w:adjustRightInd w:val="0"/>
        <w:spacing w:line="312" w:lineRule="auto"/>
        <w:ind w:firstLine="530" w:firstLineChars="221"/>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要求投标人需在合同签订后50天内完成各项工作，中标供应商提供着实有效的设计方案和实施方案，并具有经验工程师（主机、网络、数据库、虚拟化系统）驻场服务，系统稳定后离场。（本条为验收条件之一）。</w:t>
      </w:r>
    </w:p>
    <w:p/>
    <w:p>
      <w:pPr>
        <w:autoSpaceDE w:val="0"/>
        <w:autoSpaceDN w:val="0"/>
        <w:adjustRightInd w:val="0"/>
        <w:spacing w:line="312" w:lineRule="auto"/>
        <w:ind w:firstLine="530" w:firstLineChars="221"/>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 产品清单</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3653"/>
        <w:gridCol w:w="990"/>
        <w:gridCol w:w="2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Align w:val="center"/>
          </w:tcPr>
          <w:p>
            <w:pPr>
              <w:autoSpaceDE w:val="0"/>
              <w:autoSpaceDN w:val="0"/>
              <w:adjustRightInd w:val="0"/>
              <w:spacing w:line="280" w:lineRule="atLeast"/>
              <w:jc w:val="center"/>
              <w:rPr>
                <w:rFonts w:ascii="方正仿宋_GBK" w:hAnsi="Times" w:eastAsia="方正仿宋_GBK" w:cs="Times"/>
                <w:color w:val="000000"/>
                <w:kern w:val="0"/>
                <w:sz w:val="24"/>
              </w:rPr>
            </w:pPr>
            <w:r>
              <w:rPr>
                <w:rFonts w:hint="eastAsia" w:ascii="方正仿宋_GBK" w:hAnsi="Times" w:eastAsia="方正仿宋_GBK" w:cs="Times"/>
                <w:color w:val="000000"/>
                <w:kern w:val="0"/>
                <w:sz w:val="24"/>
              </w:rPr>
              <w:t>序号</w:t>
            </w:r>
          </w:p>
        </w:tc>
        <w:tc>
          <w:tcPr>
            <w:tcW w:w="3653" w:type="dxa"/>
            <w:vAlign w:val="center"/>
          </w:tcPr>
          <w:p>
            <w:pPr>
              <w:autoSpaceDE w:val="0"/>
              <w:autoSpaceDN w:val="0"/>
              <w:adjustRightInd w:val="0"/>
              <w:spacing w:line="280" w:lineRule="atLeast"/>
              <w:jc w:val="center"/>
              <w:rPr>
                <w:rFonts w:ascii="方正仿宋_GBK" w:hAnsi="Times" w:eastAsia="方正仿宋_GBK" w:cs="Times"/>
                <w:color w:val="000000"/>
                <w:kern w:val="0"/>
                <w:sz w:val="24"/>
              </w:rPr>
            </w:pPr>
            <w:r>
              <w:rPr>
                <w:rFonts w:hint="eastAsia" w:ascii="方正仿宋_GBK" w:hAnsi="Times" w:eastAsia="方正仿宋_GBK" w:cs="Times"/>
                <w:color w:val="000000"/>
                <w:kern w:val="0"/>
                <w:sz w:val="24"/>
              </w:rPr>
              <w:t>设备名称</w:t>
            </w:r>
          </w:p>
        </w:tc>
        <w:tc>
          <w:tcPr>
            <w:tcW w:w="990" w:type="dxa"/>
            <w:vAlign w:val="center"/>
          </w:tcPr>
          <w:p>
            <w:pPr>
              <w:autoSpaceDE w:val="0"/>
              <w:autoSpaceDN w:val="0"/>
              <w:adjustRightInd w:val="0"/>
              <w:spacing w:line="280" w:lineRule="atLeast"/>
              <w:jc w:val="center"/>
              <w:rPr>
                <w:rFonts w:ascii="方正仿宋_GBK" w:hAnsi="Times" w:eastAsia="方正仿宋_GBK" w:cs="Times"/>
                <w:color w:val="000000"/>
                <w:kern w:val="0"/>
                <w:sz w:val="24"/>
              </w:rPr>
            </w:pPr>
            <w:r>
              <w:rPr>
                <w:rFonts w:hint="eastAsia" w:ascii="方正仿宋_GBK" w:hAnsi="Times" w:eastAsia="方正仿宋_GBK" w:cs="Times"/>
                <w:color w:val="000000"/>
                <w:kern w:val="0"/>
                <w:sz w:val="24"/>
              </w:rPr>
              <w:t>数量</w:t>
            </w:r>
          </w:p>
        </w:tc>
        <w:tc>
          <w:tcPr>
            <w:tcW w:w="2853" w:type="dxa"/>
            <w:vAlign w:val="center"/>
          </w:tcPr>
          <w:p>
            <w:pPr>
              <w:autoSpaceDE w:val="0"/>
              <w:autoSpaceDN w:val="0"/>
              <w:adjustRightInd w:val="0"/>
              <w:spacing w:line="280" w:lineRule="atLeast"/>
              <w:jc w:val="center"/>
              <w:rPr>
                <w:rFonts w:ascii="方正仿宋_GBK" w:hAnsi="Times" w:eastAsia="方正仿宋_GBK" w:cs="Times"/>
                <w:color w:val="000000"/>
                <w:kern w:val="0"/>
                <w:sz w:val="24"/>
              </w:rPr>
            </w:pPr>
            <w:r>
              <w:rPr>
                <w:rFonts w:hint="eastAsia" w:ascii="方正仿宋_GBK" w:hAnsi="Times" w:eastAsia="方正仿宋_GBK" w:cs="Time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Align w:val="center"/>
          </w:tcPr>
          <w:p>
            <w:pPr>
              <w:autoSpaceDE w:val="0"/>
              <w:autoSpaceDN w:val="0"/>
              <w:adjustRightInd w:val="0"/>
              <w:spacing w:line="280" w:lineRule="atLeast"/>
              <w:jc w:val="center"/>
              <w:rPr>
                <w:rFonts w:ascii="方正仿宋_GBK" w:hAnsi="Times" w:eastAsia="方正仿宋_GBK" w:cs="Times"/>
                <w:color w:val="000000"/>
                <w:kern w:val="0"/>
                <w:sz w:val="24"/>
              </w:rPr>
            </w:pPr>
            <w:r>
              <w:rPr>
                <w:rFonts w:hint="eastAsia" w:ascii="方正仿宋_GBK" w:hAnsi="Times" w:eastAsia="方正仿宋_GBK" w:cs="Times"/>
                <w:color w:val="000000"/>
                <w:kern w:val="0"/>
                <w:sz w:val="24"/>
              </w:rPr>
              <w:t>1</w:t>
            </w:r>
          </w:p>
        </w:tc>
        <w:tc>
          <w:tcPr>
            <w:tcW w:w="3653" w:type="dxa"/>
            <w:vAlign w:val="center"/>
          </w:tcPr>
          <w:p>
            <w:pPr>
              <w:autoSpaceDE w:val="0"/>
              <w:autoSpaceDN w:val="0"/>
              <w:adjustRightInd w:val="0"/>
              <w:spacing w:line="280" w:lineRule="atLeast"/>
              <w:jc w:val="center"/>
              <w:rPr>
                <w:rFonts w:ascii="方正仿宋_GBK" w:hAnsi="Times" w:eastAsia="方正仿宋_GBK" w:cs="Times"/>
                <w:color w:val="000000"/>
                <w:kern w:val="0"/>
                <w:sz w:val="24"/>
              </w:rPr>
            </w:pPr>
            <w:r>
              <w:rPr>
                <w:rFonts w:hint="eastAsia" w:ascii="方正仿宋_GBK" w:hAnsi="Times" w:eastAsia="方正仿宋_GBK" w:cs="Times"/>
                <w:color w:val="000000"/>
                <w:kern w:val="0"/>
                <w:sz w:val="24"/>
              </w:rPr>
              <w:t>超融合服务器</w:t>
            </w:r>
          </w:p>
        </w:tc>
        <w:tc>
          <w:tcPr>
            <w:tcW w:w="990" w:type="dxa"/>
            <w:vAlign w:val="center"/>
          </w:tcPr>
          <w:p>
            <w:pPr>
              <w:autoSpaceDE w:val="0"/>
              <w:autoSpaceDN w:val="0"/>
              <w:adjustRightInd w:val="0"/>
              <w:spacing w:line="280" w:lineRule="atLeast"/>
              <w:jc w:val="center"/>
              <w:rPr>
                <w:rFonts w:ascii="方正仿宋_GBK" w:hAnsi="Times" w:eastAsia="方正仿宋_GBK" w:cs="Times"/>
                <w:color w:val="000000"/>
                <w:kern w:val="0"/>
                <w:sz w:val="24"/>
              </w:rPr>
            </w:pPr>
            <w:r>
              <w:rPr>
                <w:rFonts w:ascii="方正仿宋_GBK" w:hAnsi="Times" w:eastAsia="方正仿宋_GBK" w:cs="Times"/>
                <w:color w:val="000000"/>
                <w:kern w:val="0"/>
                <w:sz w:val="24"/>
              </w:rPr>
              <w:t>3</w:t>
            </w:r>
            <w:r>
              <w:rPr>
                <w:rFonts w:hint="eastAsia" w:ascii="方正仿宋_GBK" w:hAnsi="Times" w:eastAsia="方正仿宋_GBK" w:cs="Times"/>
                <w:color w:val="000000"/>
                <w:kern w:val="0"/>
                <w:sz w:val="24"/>
              </w:rPr>
              <w:t>台</w:t>
            </w:r>
          </w:p>
        </w:tc>
        <w:tc>
          <w:tcPr>
            <w:tcW w:w="2853" w:type="dxa"/>
            <w:vAlign w:val="center"/>
          </w:tcPr>
          <w:p>
            <w:pPr>
              <w:autoSpaceDE w:val="0"/>
              <w:autoSpaceDN w:val="0"/>
              <w:adjustRightInd w:val="0"/>
              <w:spacing w:line="280" w:lineRule="atLeast"/>
              <w:jc w:val="center"/>
              <w:rPr>
                <w:rFonts w:ascii="方正仿宋_GBK" w:hAnsi="Times" w:eastAsia="方正仿宋_GBK" w:cs="Time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Align w:val="center"/>
          </w:tcPr>
          <w:p>
            <w:pPr>
              <w:autoSpaceDE w:val="0"/>
              <w:autoSpaceDN w:val="0"/>
              <w:adjustRightInd w:val="0"/>
              <w:spacing w:line="280" w:lineRule="atLeast"/>
              <w:jc w:val="center"/>
              <w:rPr>
                <w:rFonts w:ascii="方正仿宋_GBK" w:hAnsi="Times" w:eastAsia="方正仿宋_GBK" w:cs="Times"/>
                <w:color w:val="000000"/>
                <w:kern w:val="0"/>
                <w:sz w:val="24"/>
              </w:rPr>
            </w:pPr>
            <w:r>
              <w:rPr>
                <w:rFonts w:hint="eastAsia" w:ascii="方正仿宋_GBK" w:hAnsi="Times" w:eastAsia="方正仿宋_GBK" w:cs="Times"/>
                <w:color w:val="000000"/>
                <w:kern w:val="0"/>
                <w:sz w:val="24"/>
              </w:rPr>
              <w:t>2</w:t>
            </w:r>
          </w:p>
        </w:tc>
        <w:tc>
          <w:tcPr>
            <w:tcW w:w="3653" w:type="dxa"/>
            <w:vAlign w:val="center"/>
          </w:tcPr>
          <w:p>
            <w:pPr>
              <w:autoSpaceDE w:val="0"/>
              <w:autoSpaceDN w:val="0"/>
              <w:adjustRightInd w:val="0"/>
              <w:spacing w:line="280" w:lineRule="atLeast"/>
              <w:jc w:val="center"/>
              <w:rPr>
                <w:rFonts w:hint="eastAsia" w:ascii="方正仿宋_GBK" w:hAnsi="Times" w:eastAsia="方正仿宋_GBK" w:cs="Times"/>
                <w:color w:val="000000"/>
                <w:kern w:val="0"/>
                <w:sz w:val="24"/>
              </w:rPr>
            </w:pPr>
            <w:r>
              <w:rPr>
                <w:rFonts w:hint="eastAsia" w:ascii="方正仿宋_GBK" w:hAnsi="Times" w:eastAsia="方正仿宋_GBK" w:cs="Times"/>
                <w:color w:val="000000"/>
                <w:kern w:val="0"/>
                <w:sz w:val="24"/>
              </w:rPr>
              <w:t>超融合服务器防病毒软件</w:t>
            </w:r>
          </w:p>
        </w:tc>
        <w:tc>
          <w:tcPr>
            <w:tcW w:w="990" w:type="dxa"/>
            <w:vAlign w:val="center"/>
          </w:tcPr>
          <w:p>
            <w:pPr>
              <w:autoSpaceDE w:val="0"/>
              <w:autoSpaceDN w:val="0"/>
              <w:adjustRightInd w:val="0"/>
              <w:spacing w:line="280" w:lineRule="atLeast"/>
              <w:jc w:val="center"/>
              <w:rPr>
                <w:rFonts w:hint="eastAsia" w:ascii="方正仿宋_GBK" w:hAnsi="Times" w:eastAsia="方正仿宋_GBK" w:cs="Times"/>
                <w:color w:val="000000"/>
                <w:kern w:val="0"/>
                <w:sz w:val="24"/>
              </w:rPr>
            </w:pPr>
            <w:r>
              <w:rPr>
                <w:rFonts w:hint="eastAsia" w:ascii="方正仿宋_GBK" w:hAnsi="Times" w:eastAsia="方正仿宋_GBK" w:cs="Times"/>
                <w:color w:val="000000"/>
                <w:kern w:val="0"/>
                <w:sz w:val="24"/>
              </w:rPr>
              <w:t>1套</w:t>
            </w:r>
          </w:p>
        </w:tc>
        <w:tc>
          <w:tcPr>
            <w:tcW w:w="2853" w:type="dxa"/>
            <w:vAlign w:val="center"/>
          </w:tcPr>
          <w:p>
            <w:pPr>
              <w:autoSpaceDE w:val="0"/>
              <w:autoSpaceDN w:val="0"/>
              <w:adjustRightInd w:val="0"/>
              <w:spacing w:line="280" w:lineRule="atLeast"/>
              <w:jc w:val="center"/>
              <w:rPr>
                <w:rFonts w:hint="eastAsia" w:ascii="方正仿宋_GBK" w:hAnsi="Times" w:eastAsia="方正仿宋_GBK" w:cs="Times"/>
                <w:color w:val="000000"/>
                <w:kern w:val="0"/>
                <w:sz w:val="24"/>
              </w:rPr>
            </w:pPr>
            <w:r>
              <w:rPr>
                <w:rFonts w:hint="eastAsia" w:asciiTheme="minorEastAsia" w:hAnsiTheme="minorEastAsia" w:eastAsiaTheme="minorEastAsia" w:cstheme="minorEastAsia"/>
                <w:sz w:val="24"/>
                <w:highlight w:val="none"/>
              </w:rPr>
              <w:t>需与超融合同一品牌，三年原厂服务。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Align w:val="center"/>
          </w:tcPr>
          <w:p>
            <w:pPr>
              <w:autoSpaceDE w:val="0"/>
              <w:autoSpaceDN w:val="0"/>
              <w:adjustRightInd w:val="0"/>
              <w:spacing w:line="280" w:lineRule="atLeast"/>
              <w:jc w:val="center"/>
              <w:rPr>
                <w:rFonts w:ascii="方正仿宋_GBK" w:hAnsi="Times" w:eastAsia="方正仿宋_GBK" w:cs="Times"/>
                <w:color w:val="000000"/>
                <w:kern w:val="0"/>
                <w:sz w:val="24"/>
              </w:rPr>
            </w:pPr>
            <w:r>
              <w:rPr>
                <w:rFonts w:hint="eastAsia" w:ascii="方正仿宋_GBK" w:hAnsi="Times" w:eastAsia="方正仿宋_GBK" w:cs="Times"/>
                <w:color w:val="000000"/>
                <w:kern w:val="0"/>
                <w:sz w:val="24"/>
              </w:rPr>
              <w:t>3</w:t>
            </w:r>
          </w:p>
        </w:tc>
        <w:tc>
          <w:tcPr>
            <w:tcW w:w="3653" w:type="dxa"/>
            <w:vAlign w:val="center"/>
          </w:tcPr>
          <w:p>
            <w:pPr>
              <w:autoSpaceDE w:val="0"/>
              <w:autoSpaceDN w:val="0"/>
              <w:adjustRightInd w:val="0"/>
              <w:spacing w:line="280" w:lineRule="atLeast"/>
              <w:jc w:val="center"/>
              <w:rPr>
                <w:rFonts w:hint="default" w:ascii="方正仿宋_GBK" w:hAnsi="Times" w:eastAsia="方正仿宋_GBK" w:cs="Times"/>
                <w:color w:val="000000"/>
                <w:kern w:val="0"/>
                <w:sz w:val="24"/>
                <w:lang w:val="en-US" w:eastAsia="zh-CN"/>
              </w:rPr>
            </w:pPr>
            <w:r>
              <w:rPr>
                <w:rFonts w:hint="eastAsia" w:ascii="方正仿宋_GBK" w:hAnsi="Times" w:eastAsia="方正仿宋_GBK" w:cs="Times"/>
                <w:color w:val="000000"/>
                <w:kern w:val="0"/>
                <w:sz w:val="24"/>
                <w:lang w:val="en-US" w:eastAsia="zh-CN"/>
              </w:rPr>
              <w:t>万兆交换机</w:t>
            </w:r>
          </w:p>
        </w:tc>
        <w:tc>
          <w:tcPr>
            <w:tcW w:w="990" w:type="dxa"/>
            <w:vAlign w:val="center"/>
          </w:tcPr>
          <w:p>
            <w:pPr>
              <w:autoSpaceDE w:val="0"/>
              <w:autoSpaceDN w:val="0"/>
              <w:adjustRightInd w:val="0"/>
              <w:spacing w:line="280" w:lineRule="atLeast"/>
              <w:jc w:val="center"/>
              <w:rPr>
                <w:rFonts w:hint="default" w:ascii="方正仿宋_GBK" w:hAnsi="Times" w:eastAsia="方正仿宋_GBK" w:cs="Times"/>
                <w:color w:val="000000"/>
                <w:kern w:val="0"/>
                <w:sz w:val="24"/>
                <w:lang w:val="en-US" w:eastAsia="zh-CN"/>
              </w:rPr>
            </w:pPr>
            <w:r>
              <w:rPr>
                <w:rFonts w:hint="eastAsia" w:ascii="方正仿宋_GBK" w:hAnsi="Times" w:eastAsia="方正仿宋_GBK" w:cs="Times"/>
                <w:color w:val="000000"/>
                <w:kern w:val="0"/>
                <w:sz w:val="24"/>
                <w:lang w:val="en-US" w:eastAsia="zh-CN"/>
              </w:rPr>
              <w:t>1台</w:t>
            </w:r>
          </w:p>
        </w:tc>
        <w:tc>
          <w:tcPr>
            <w:tcW w:w="2853" w:type="dxa"/>
            <w:vAlign w:val="center"/>
          </w:tcPr>
          <w:p>
            <w:pPr>
              <w:autoSpaceDE w:val="0"/>
              <w:autoSpaceDN w:val="0"/>
              <w:adjustRightInd w:val="0"/>
              <w:spacing w:line="280" w:lineRule="atLeast"/>
              <w:jc w:val="center"/>
              <w:rPr>
                <w:rFonts w:hint="eastAsia" w:ascii="方正仿宋_GBK" w:hAnsi="Times" w:eastAsia="方正仿宋_GBK" w:cs="Time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6" w:type="dxa"/>
            <w:vAlign w:val="center"/>
          </w:tcPr>
          <w:p>
            <w:pPr>
              <w:autoSpaceDE w:val="0"/>
              <w:autoSpaceDN w:val="0"/>
              <w:adjustRightInd w:val="0"/>
              <w:spacing w:line="280" w:lineRule="atLeast"/>
              <w:jc w:val="center"/>
              <w:rPr>
                <w:rFonts w:hint="eastAsia" w:ascii="方正仿宋_GBK" w:hAnsi="Times" w:eastAsia="方正仿宋_GBK" w:cs="Times"/>
                <w:color w:val="000000"/>
                <w:kern w:val="0"/>
                <w:sz w:val="24"/>
                <w:lang w:val="en-US" w:eastAsia="zh-CN"/>
              </w:rPr>
            </w:pPr>
            <w:r>
              <w:rPr>
                <w:rFonts w:hint="eastAsia" w:ascii="方正仿宋_GBK" w:hAnsi="Times" w:eastAsia="方正仿宋_GBK" w:cs="Times"/>
                <w:color w:val="000000"/>
                <w:kern w:val="0"/>
                <w:sz w:val="24"/>
                <w:lang w:val="en-US" w:eastAsia="zh-CN"/>
              </w:rPr>
              <w:t>4</w:t>
            </w:r>
          </w:p>
        </w:tc>
        <w:tc>
          <w:tcPr>
            <w:tcW w:w="3653" w:type="dxa"/>
            <w:vAlign w:val="center"/>
          </w:tcPr>
          <w:p>
            <w:pPr>
              <w:autoSpaceDE w:val="0"/>
              <w:autoSpaceDN w:val="0"/>
              <w:adjustRightInd w:val="0"/>
              <w:spacing w:line="280" w:lineRule="atLeast"/>
              <w:jc w:val="center"/>
              <w:rPr>
                <w:rFonts w:hint="eastAsia" w:ascii="方正仿宋_GBK" w:hAnsi="Times" w:eastAsia="方正仿宋_GBK" w:cs="Times"/>
                <w:color w:val="000000"/>
                <w:kern w:val="0"/>
                <w:sz w:val="24"/>
                <w:highlight w:val="none"/>
                <w:lang w:val="en-US" w:eastAsia="zh-CN"/>
              </w:rPr>
            </w:pPr>
            <w:r>
              <w:rPr>
                <w:rFonts w:hint="eastAsia" w:asciiTheme="minorEastAsia" w:hAnsiTheme="minorEastAsia" w:eastAsiaTheme="minorEastAsia" w:cstheme="minorEastAsia"/>
                <w:sz w:val="24"/>
                <w:highlight w:val="none"/>
              </w:rPr>
              <w:t>本地网络服务专线（5公里）</w:t>
            </w:r>
          </w:p>
        </w:tc>
        <w:tc>
          <w:tcPr>
            <w:tcW w:w="990" w:type="dxa"/>
            <w:vAlign w:val="center"/>
          </w:tcPr>
          <w:p>
            <w:pPr>
              <w:autoSpaceDE w:val="0"/>
              <w:autoSpaceDN w:val="0"/>
              <w:adjustRightInd w:val="0"/>
              <w:spacing w:line="280" w:lineRule="atLeast"/>
              <w:jc w:val="center"/>
              <w:rPr>
                <w:rFonts w:hint="eastAsia" w:ascii="方正仿宋_GBK" w:hAnsi="Times" w:eastAsia="方正仿宋_GBK" w:cs="Times"/>
                <w:color w:val="000000"/>
                <w:kern w:val="0"/>
                <w:sz w:val="24"/>
                <w:highlight w:val="none"/>
                <w:lang w:val="en-US" w:eastAsia="zh-CN"/>
              </w:rPr>
            </w:pPr>
            <w:r>
              <w:rPr>
                <w:rFonts w:hint="eastAsia" w:asciiTheme="minorEastAsia" w:hAnsiTheme="minorEastAsia" w:eastAsiaTheme="minorEastAsia" w:cstheme="minorEastAsia"/>
                <w:sz w:val="24"/>
                <w:highlight w:val="none"/>
                <w:lang w:val="en-US" w:eastAsia="zh-CN"/>
              </w:rPr>
              <w:t>2</w:t>
            </w:r>
            <w:r>
              <w:rPr>
                <w:rFonts w:hint="eastAsia" w:asciiTheme="minorEastAsia" w:hAnsiTheme="minorEastAsia" w:eastAsiaTheme="minorEastAsia" w:cstheme="minorEastAsia"/>
                <w:sz w:val="24"/>
                <w:highlight w:val="none"/>
              </w:rPr>
              <w:t>条</w:t>
            </w:r>
          </w:p>
        </w:tc>
        <w:tc>
          <w:tcPr>
            <w:tcW w:w="2853" w:type="dxa"/>
            <w:vAlign w:val="center"/>
          </w:tcPr>
          <w:p>
            <w:pPr>
              <w:autoSpaceDE w:val="0"/>
              <w:autoSpaceDN w:val="0"/>
              <w:adjustRightInd w:val="0"/>
              <w:spacing w:line="280" w:lineRule="atLeast"/>
              <w:jc w:val="center"/>
              <w:rPr>
                <w:rFonts w:hint="eastAsia" w:ascii="方正仿宋_GBK" w:hAnsi="Times" w:eastAsia="方正仿宋_GBK" w:cs="Times"/>
                <w:color w:val="000000"/>
                <w:kern w:val="0"/>
                <w:sz w:val="24"/>
                <w:highlight w:val="none"/>
              </w:rPr>
            </w:pPr>
            <w:r>
              <w:rPr>
                <w:rFonts w:hint="eastAsia" w:asciiTheme="minorEastAsia" w:hAnsiTheme="minorEastAsia" w:eastAsiaTheme="minorEastAsia" w:cstheme="minorEastAsia"/>
                <w:sz w:val="24"/>
                <w:highlight w:val="none"/>
              </w:rPr>
              <w:t>带宽不低于1</w:t>
            </w:r>
            <w:r>
              <w:rPr>
                <w:rFonts w:asciiTheme="minorEastAsia" w:hAnsiTheme="minorEastAsia" w:eastAsiaTheme="minorEastAsia" w:cstheme="minorEastAsia"/>
                <w:sz w:val="24"/>
                <w:highlight w:val="none"/>
              </w:rPr>
              <w:t>0</w:t>
            </w:r>
            <w:r>
              <w:rPr>
                <w:rFonts w:hint="eastAsia" w:asciiTheme="minorEastAsia" w:hAnsiTheme="minorEastAsia" w:eastAsiaTheme="minorEastAsia" w:cstheme="minorEastAsia"/>
                <w:sz w:val="24"/>
                <w:highlight w:val="none"/>
                <w:lang w:val="en-US" w:eastAsia="zh-CN"/>
              </w:rPr>
              <w:t>0</w:t>
            </w:r>
            <w:r>
              <w:rPr>
                <w:rFonts w:asciiTheme="minorEastAsia" w:hAnsiTheme="minorEastAsia" w:eastAsiaTheme="minorEastAsia" w:cstheme="minorEastAsia"/>
                <w:sz w:val="24"/>
                <w:highlight w:val="none"/>
              </w:rPr>
              <w:t>M</w:t>
            </w:r>
            <w:r>
              <w:rPr>
                <w:rFonts w:hint="eastAsia" w:asciiTheme="minorEastAsia" w:hAnsiTheme="minorEastAsia" w:eastAsiaTheme="minorEastAsia" w:cstheme="minorEastAsia"/>
                <w:sz w:val="24"/>
                <w:highlight w:val="none"/>
              </w:rPr>
              <w:t>，</w:t>
            </w:r>
            <w:r>
              <w:rPr>
                <w:rFonts w:hint="eastAsia" w:asciiTheme="minorEastAsia" w:hAnsiTheme="minorEastAsia" w:eastAsiaTheme="minorEastAsia" w:cstheme="minorEastAsia"/>
                <w:sz w:val="24"/>
                <w:highlight w:val="none"/>
                <w:lang w:eastAsia="zh-CN"/>
              </w:rPr>
              <w:t>分属于不同供应商，一用一备。</w:t>
            </w:r>
            <w:r>
              <w:rPr>
                <w:rFonts w:hint="eastAsia" w:asciiTheme="minorEastAsia" w:hAnsiTheme="minorEastAsia" w:eastAsiaTheme="minorEastAsia" w:cstheme="minorEastAsia"/>
                <w:sz w:val="24"/>
                <w:highlight w:val="none"/>
              </w:rPr>
              <w:t>服务年限1年</w:t>
            </w:r>
          </w:p>
        </w:tc>
      </w:tr>
    </w:tbl>
    <w:p>
      <w:pPr>
        <w:pStyle w:val="2"/>
      </w:pPr>
    </w:p>
    <w:p>
      <w:pPr>
        <w:spacing w:line="360" w:lineRule="auto"/>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3.功能、性能与配置要求</w:t>
      </w:r>
    </w:p>
    <w:p>
      <w:pPr>
        <w:spacing w:line="360" w:lineRule="auto"/>
        <w:ind w:firstLine="436" w:firstLineChars="182"/>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3.1超融合服务器</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787"/>
        <w:gridCol w:w="5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83" w:type="dxa"/>
            <w:shd w:val="clear" w:color="auto" w:fill="auto"/>
            <w:noWrap/>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项目</w:t>
            </w:r>
          </w:p>
        </w:tc>
        <w:tc>
          <w:tcPr>
            <w:tcW w:w="1787" w:type="dxa"/>
            <w:shd w:val="clear" w:color="auto" w:fill="auto"/>
            <w:noWrap/>
            <w:vAlign w:val="center"/>
          </w:tcPr>
          <w:p>
            <w:pPr>
              <w:spacing w:line="360" w:lineRule="auto"/>
              <w:ind w:firstLine="900" w:firstLineChars="500"/>
              <w:jc w:val="both"/>
              <w:rPr>
                <w:rFonts w:ascii="宋体" w:hAnsi="宋体" w:cs="宋体"/>
                <w:kern w:val="0"/>
                <w:sz w:val="18"/>
                <w:szCs w:val="18"/>
              </w:rPr>
            </w:pPr>
            <w:r>
              <w:rPr>
                <w:rFonts w:hint="eastAsia" w:ascii="宋体" w:hAnsi="宋体" w:cs="宋体"/>
                <w:kern w:val="0"/>
                <w:sz w:val="18"/>
                <w:szCs w:val="18"/>
              </w:rPr>
              <w:t>指标</w:t>
            </w:r>
          </w:p>
        </w:tc>
        <w:tc>
          <w:tcPr>
            <w:tcW w:w="5536" w:type="dxa"/>
            <w:shd w:val="clear" w:color="auto" w:fill="auto"/>
            <w:noWrap/>
            <w:vAlign w:val="center"/>
          </w:tcPr>
          <w:p>
            <w:pPr>
              <w:spacing w:line="360" w:lineRule="auto"/>
              <w:ind w:firstLine="900" w:firstLineChars="500"/>
              <w:jc w:val="both"/>
              <w:rPr>
                <w:rFonts w:ascii="宋体" w:hAnsi="宋体" w:cs="宋体"/>
                <w:kern w:val="0"/>
                <w:sz w:val="18"/>
                <w:szCs w:val="18"/>
              </w:rPr>
            </w:pPr>
            <w:r>
              <w:rPr>
                <w:rFonts w:hint="eastAsia" w:ascii="宋体" w:hAnsi="宋体" w:cs="宋体"/>
                <w:kern w:val="0"/>
                <w:sz w:val="18"/>
                <w:szCs w:val="18"/>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83" w:type="dxa"/>
            <w:vMerge w:val="restart"/>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超融合管理平台</w:t>
            </w:r>
          </w:p>
        </w:tc>
        <w:tc>
          <w:tcPr>
            <w:tcW w:w="1787" w:type="dxa"/>
            <w:shd w:val="clear" w:color="auto" w:fill="auto"/>
            <w:vAlign w:val="center"/>
          </w:tcPr>
          <w:p>
            <w:pPr>
              <w:spacing w:line="360" w:lineRule="auto"/>
              <w:jc w:val="both"/>
              <w:rPr>
                <w:rFonts w:ascii="宋体" w:hAnsi="宋体" w:cs="宋体"/>
                <w:kern w:val="0"/>
                <w:sz w:val="18"/>
                <w:szCs w:val="18"/>
              </w:rPr>
            </w:pPr>
            <w:r>
              <w:rPr>
                <w:rFonts w:hint="eastAsia" w:ascii="方正仿宋_GBK" w:hAnsi="宋体" w:eastAsia="方正仿宋_GBK"/>
                <w:sz w:val="32"/>
                <w:szCs w:val="32"/>
              </w:rPr>
              <w:t>★</w:t>
            </w:r>
            <w:r>
              <w:rPr>
                <w:rFonts w:hint="eastAsia" w:ascii="宋体" w:hAnsi="宋体" w:cs="宋体"/>
                <w:kern w:val="0"/>
                <w:sz w:val="18"/>
                <w:szCs w:val="18"/>
              </w:rPr>
              <w:t>出厂预装超融合管理软件</w:t>
            </w:r>
          </w:p>
        </w:tc>
        <w:tc>
          <w:tcPr>
            <w:tcW w:w="5536"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每个超融合节点出厂自带管理软件，设备上电后可登录任意一台来做超融合管理节点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183" w:type="dxa"/>
            <w:vMerge w:val="continue"/>
            <w:shd w:val="clear" w:color="auto" w:fill="auto"/>
            <w:vAlign w:val="center"/>
          </w:tcPr>
          <w:p>
            <w:pPr>
              <w:spacing w:line="360" w:lineRule="auto"/>
              <w:ind w:firstLine="900" w:firstLineChars="500"/>
              <w:jc w:val="both"/>
              <w:rPr>
                <w:rFonts w:ascii="宋体" w:hAnsi="宋体" w:cs="宋体"/>
                <w:kern w:val="0"/>
                <w:sz w:val="18"/>
                <w:szCs w:val="18"/>
              </w:rPr>
            </w:pPr>
          </w:p>
        </w:tc>
        <w:tc>
          <w:tcPr>
            <w:tcW w:w="1787" w:type="dxa"/>
            <w:shd w:val="clear" w:color="auto" w:fill="auto"/>
            <w:vAlign w:val="center"/>
          </w:tcPr>
          <w:p>
            <w:pPr>
              <w:spacing w:line="360" w:lineRule="auto"/>
              <w:jc w:val="both"/>
              <w:rPr>
                <w:rFonts w:ascii="宋体" w:hAnsi="宋体" w:cs="宋体"/>
                <w:kern w:val="0"/>
                <w:sz w:val="18"/>
                <w:szCs w:val="18"/>
              </w:rPr>
            </w:pPr>
            <w:r>
              <w:rPr>
                <w:rFonts w:hint="eastAsia" w:ascii="方正仿宋_GBK" w:hAnsi="宋体" w:eastAsia="方正仿宋_GBK"/>
                <w:sz w:val="32"/>
                <w:szCs w:val="32"/>
              </w:rPr>
              <w:t>★</w:t>
            </w:r>
            <w:r>
              <w:rPr>
                <w:rFonts w:hint="eastAsia" w:ascii="宋体" w:hAnsi="宋体" w:cs="宋体"/>
                <w:kern w:val="0"/>
                <w:sz w:val="18"/>
                <w:szCs w:val="18"/>
              </w:rPr>
              <w:t>异构硬件平台部署</w:t>
            </w:r>
          </w:p>
        </w:tc>
        <w:tc>
          <w:tcPr>
            <w:tcW w:w="5536"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支持在通用的x86、arm架构服务器上安装超融合软件，支持飞腾、鲲鹏等业界主流的ARM平台，并且可以与原有的X86系统混合部署、统一管理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1183" w:type="dxa"/>
            <w:vMerge w:val="continue"/>
            <w:shd w:val="clear" w:color="auto" w:fill="auto"/>
            <w:vAlign w:val="center"/>
          </w:tcPr>
          <w:p>
            <w:pPr>
              <w:spacing w:line="360" w:lineRule="auto"/>
              <w:ind w:firstLine="900" w:firstLineChars="500"/>
              <w:jc w:val="both"/>
              <w:rPr>
                <w:rFonts w:ascii="宋体" w:hAnsi="宋体" w:cs="宋体"/>
                <w:kern w:val="0"/>
                <w:sz w:val="18"/>
                <w:szCs w:val="18"/>
              </w:rPr>
            </w:pPr>
          </w:p>
        </w:tc>
        <w:tc>
          <w:tcPr>
            <w:tcW w:w="1787" w:type="dxa"/>
            <w:shd w:val="clear" w:color="auto" w:fill="auto"/>
            <w:vAlign w:val="center"/>
          </w:tcPr>
          <w:p>
            <w:pPr>
              <w:spacing w:line="360" w:lineRule="auto"/>
              <w:jc w:val="both"/>
              <w:rPr>
                <w:rFonts w:ascii="宋体" w:hAnsi="宋体" w:cs="宋体"/>
                <w:kern w:val="0"/>
                <w:sz w:val="18"/>
                <w:szCs w:val="18"/>
              </w:rPr>
            </w:pPr>
            <w:r>
              <w:rPr>
                <w:rFonts w:hint="eastAsia" w:ascii="方正仿宋_GBK" w:hAnsi="宋体" w:eastAsia="方正仿宋_GBK"/>
                <w:sz w:val="32"/>
                <w:szCs w:val="32"/>
              </w:rPr>
              <w:t>★</w:t>
            </w:r>
            <w:r>
              <w:rPr>
                <w:rFonts w:hint="eastAsia" w:ascii="宋体" w:hAnsi="宋体" w:cs="宋体"/>
                <w:kern w:val="0"/>
                <w:sz w:val="18"/>
                <w:szCs w:val="18"/>
              </w:rPr>
              <w:t>虚拟机部署</w:t>
            </w:r>
          </w:p>
        </w:tc>
        <w:tc>
          <w:tcPr>
            <w:tcW w:w="5536"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虚拟机可以实现物理机的全部功能，如具有自己的资源（内存、CPU、网卡、存储），可以指定单独的IP地址、MAC地址等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183" w:type="dxa"/>
            <w:vMerge w:val="continue"/>
            <w:shd w:val="clear" w:color="auto" w:fill="auto"/>
            <w:vAlign w:val="center"/>
          </w:tcPr>
          <w:p>
            <w:pPr>
              <w:spacing w:line="360" w:lineRule="auto"/>
              <w:ind w:firstLine="900" w:firstLineChars="500"/>
              <w:jc w:val="both"/>
              <w:rPr>
                <w:rFonts w:ascii="宋体" w:hAnsi="宋体" w:cs="宋体"/>
                <w:kern w:val="0"/>
                <w:sz w:val="18"/>
                <w:szCs w:val="18"/>
              </w:rPr>
            </w:pPr>
          </w:p>
        </w:tc>
        <w:tc>
          <w:tcPr>
            <w:tcW w:w="1787" w:type="dxa"/>
            <w:shd w:val="clear" w:color="auto" w:fill="auto"/>
            <w:vAlign w:val="center"/>
          </w:tcPr>
          <w:p>
            <w:pPr>
              <w:spacing w:line="360" w:lineRule="auto"/>
              <w:jc w:val="both"/>
              <w:rPr>
                <w:rFonts w:ascii="宋体" w:hAnsi="宋体" w:cs="宋体"/>
                <w:kern w:val="0"/>
                <w:sz w:val="18"/>
                <w:szCs w:val="18"/>
              </w:rPr>
            </w:pPr>
            <w:r>
              <w:rPr>
                <w:rFonts w:hint="eastAsia" w:ascii="方正仿宋_GBK" w:hAnsi="宋体" w:eastAsia="方正仿宋_GBK"/>
                <w:sz w:val="32"/>
                <w:szCs w:val="32"/>
              </w:rPr>
              <w:t>★</w:t>
            </w:r>
            <w:r>
              <w:rPr>
                <w:rFonts w:hint="eastAsia" w:ascii="宋体" w:hAnsi="宋体" w:cs="宋体"/>
                <w:kern w:val="0"/>
                <w:sz w:val="18"/>
                <w:szCs w:val="18"/>
              </w:rPr>
              <w:t>超融合资源统一管理</w:t>
            </w:r>
          </w:p>
        </w:tc>
        <w:tc>
          <w:tcPr>
            <w:tcW w:w="5536"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在统一的超融合管理平台上即可实现对计算、存储、网络、安全等资源的统一管理运维，无需界面跳转即可实现全部操作，简化运维工作，降低运维成本。提供产品功能截图，并加盖厂商公章，未提供视为不满足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1183" w:type="dxa"/>
            <w:vMerge w:val="continue"/>
            <w:shd w:val="clear" w:color="auto" w:fill="auto"/>
            <w:vAlign w:val="center"/>
          </w:tcPr>
          <w:p>
            <w:pPr>
              <w:spacing w:line="360" w:lineRule="auto"/>
              <w:ind w:firstLine="900" w:firstLineChars="500"/>
              <w:jc w:val="both"/>
              <w:rPr>
                <w:rFonts w:ascii="宋体" w:hAnsi="宋体" w:cs="宋体"/>
                <w:kern w:val="0"/>
                <w:sz w:val="18"/>
                <w:szCs w:val="18"/>
              </w:rPr>
            </w:pPr>
          </w:p>
        </w:tc>
        <w:tc>
          <w:tcPr>
            <w:tcW w:w="1787"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自定义大屏展示</w:t>
            </w:r>
          </w:p>
        </w:tc>
        <w:tc>
          <w:tcPr>
            <w:tcW w:w="5536"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支持大屏展示便于客户直观查看虚拟化资源池的使用情况和健康状态，包括集群资源情况，各主机资源使用情况，包括内存/CPU/磁盘使用趋势，以及集群故障与告警等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183" w:type="dxa"/>
            <w:vMerge w:val="continue"/>
            <w:shd w:val="clear" w:color="auto" w:fill="auto"/>
            <w:vAlign w:val="center"/>
          </w:tcPr>
          <w:p>
            <w:pPr>
              <w:spacing w:line="360" w:lineRule="auto"/>
              <w:ind w:firstLine="900" w:firstLineChars="500"/>
              <w:jc w:val="both"/>
              <w:rPr>
                <w:rFonts w:ascii="宋体" w:hAnsi="宋体" w:cs="宋体"/>
                <w:kern w:val="0"/>
                <w:sz w:val="18"/>
                <w:szCs w:val="18"/>
              </w:rPr>
            </w:pPr>
          </w:p>
        </w:tc>
        <w:tc>
          <w:tcPr>
            <w:tcW w:w="1787"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一键健康检测</w:t>
            </w:r>
          </w:p>
        </w:tc>
        <w:tc>
          <w:tcPr>
            <w:tcW w:w="5536"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支持平台中的集群资源环境一键检测，可以选择检测对象，包括系统运行状态检测（系统服务检测、配置文件检测、系统分区检测、存储空间检测）、系统配置检测（网口配置检测）、硬件健康检测（CPU检测、内存检测、网卡检测、硬盘基本功能检测）可以点击开始检测按钮对检测对象进行检测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183" w:type="dxa"/>
            <w:vMerge w:val="continue"/>
            <w:shd w:val="clear" w:color="auto" w:fill="auto"/>
            <w:vAlign w:val="center"/>
          </w:tcPr>
          <w:p>
            <w:pPr>
              <w:spacing w:line="360" w:lineRule="auto"/>
              <w:ind w:firstLine="900" w:firstLineChars="500"/>
              <w:jc w:val="both"/>
              <w:rPr>
                <w:rFonts w:ascii="宋体" w:hAnsi="宋体" w:cs="宋体"/>
                <w:kern w:val="0"/>
                <w:sz w:val="18"/>
                <w:szCs w:val="18"/>
              </w:rPr>
            </w:pPr>
          </w:p>
        </w:tc>
        <w:tc>
          <w:tcPr>
            <w:tcW w:w="1787" w:type="dxa"/>
            <w:shd w:val="clear" w:color="auto" w:fill="auto"/>
            <w:vAlign w:val="center"/>
          </w:tcPr>
          <w:p>
            <w:pPr>
              <w:spacing w:line="360" w:lineRule="auto"/>
              <w:jc w:val="both"/>
              <w:rPr>
                <w:rFonts w:ascii="宋体" w:hAnsi="宋体" w:cs="宋体"/>
                <w:kern w:val="0"/>
                <w:sz w:val="18"/>
                <w:szCs w:val="18"/>
              </w:rPr>
            </w:pPr>
            <w:r>
              <w:rPr>
                <w:rFonts w:ascii="宋体" w:hAnsi="宋体" w:cs="宋体"/>
                <w:kern w:val="0"/>
                <w:sz w:val="18"/>
                <w:szCs w:val="18"/>
              </w:rPr>
              <w:t>硬件检测</w:t>
            </w:r>
          </w:p>
        </w:tc>
        <w:tc>
          <w:tcPr>
            <w:tcW w:w="5536"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支持对超融合平台的硬件进行监控和大屏展示，包含CPU、内存、网卡、硬盘、存储、RAID等硬件健康检测，便于及时发现问题并提供相应异常检测项的恢复指导建议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183" w:type="dxa"/>
            <w:vMerge w:val="continue"/>
            <w:shd w:val="clear" w:color="auto" w:fill="auto"/>
            <w:vAlign w:val="center"/>
          </w:tcPr>
          <w:p>
            <w:pPr>
              <w:spacing w:line="360" w:lineRule="auto"/>
              <w:ind w:firstLine="900" w:firstLineChars="500"/>
              <w:jc w:val="both"/>
              <w:rPr>
                <w:rFonts w:ascii="宋体" w:hAnsi="宋体" w:cs="宋体"/>
                <w:kern w:val="0"/>
                <w:sz w:val="18"/>
                <w:szCs w:val="18"/>
              </w:rPr>
            </w:pPr>
          </w:p>
        </w:tc>
        <w:tc>
          <w:tcPr>
            <w:tcW w:w="1787" w:type="dxa"/>
            <w:shd w:val="clear" w:color="auto" w:fill="auto"/>
            <w:vAlign w:val="center"/>
          </w:tcPr>
          <w:p>
            <w:pPr>
              <w:spacing w:line="360" w:lineRule="auto"/>
              <w:jc w:val="both"/>
              <w:rPr>
                <w:rFonts w:ascii="宋体" w:hAnsi="宋体" w:eastAsia="方正仿宋_GBK" w:cs="宋体"/>
                <w:kern w:val="0"/>
                <w:sz w:val="18"/>
                <w:szCs w:val="18"/>
              </w:rPr>
            </w:pPr>
            <w:r>
              <w:rPr>
                <w:rFonts w:hint="eastAsia" w:ascii="宋体" w:hAnsi="宋体" w:cs="宋体"/>
                <w:kern w:val="0"/>
                <w:sz w:val="18"/>
                <w:szCs w:val="18"/>
              </w:rPr>
              <w:t>动态资源调度</w:t>
            </w:r>
          </w:p>
        </w:tc>
        <w:tc>
          <w:tcPr>
            <w:tcW w:w="5536"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支持集群动态资源调度DRS，系统支持自动评估物理主机的负载情况，当物理主机负载过高时，自动将该物理主机上的虚拟机迁移到其他负载较低的主机上，确保业务持续稳定和集群主机负载均衡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3" w:type="dxa"/>
            <w:vMerge w:val="continue"/>
            <w:shd w:val="clear" w:color="auto" w:fill="auto"/>
            <w:vAlign w:val="center"/>
          </w:tcPr>
          <w:p>
            <w:pPr>
              <w:spacing w:line="360" w:lineRule="auto"/>
              <w:ind w:firstLine="900" w:firstLineChars="500"/>
              <w:jc w:val="both"/>
              <w:rPr>
                <w:rFonts w:ascii="宋体" w:hAnsi="宋体" w:cs="宋体"/>
                <w:kern w:val="0"/>
                <w:sz w:val="18"/>
                <w:szCs w:val="18"/>
              </w:rPr>
            </w:pPr>
          </w:p>
        </w:tc>
        <w:tc>
          <w:tcPr>
            <w:tcW w:w="1787"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主机亚健康检测</w:t>
            </w:r>
          </w:p>
        </w:tc>
        <w:tc>
          <w:tcPr>
            <w:tcW w:w="5536"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为避免主机假死导致系列问题发生，支持识别假死主机并标签化为亚健康主机，通过邮件或短信告警提醒用户进行处理，并限制重要业务在亚健康主机上运行，规避风险。提供产品功能截图，并加盖厂商公章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183" w:type="dxa"/>
            <w:vMerge w:val="continue"/>
            <w:shd w:val="clear" w:color="auto" w:fill="auto"/>
            <w:vAlign w:val="center"/>
          </w:tcPr>
          <w:p>
            <w:pPr>
              <w:spacing w:line="360" w:lineRule="auto"/>
              <w:ind w:firstLine="900" w:firstLineChars="500"/>
              <w:jc w:val="both"/>
              <w:rPr>
                <w:rFonts w:ascii="宋体" w:hAnsi="宋体" w:cs="宋体"/>
                <w:kern w:val="0"/>
                <w:sz w:val="18"/>
                <w:szCs w:val="18"/>
              </w:rPr>
            </w:pPr>
          </w:p>
        </w:tc>
        <w:tc>
          <w:tcPr>
            <w:tcW w:w="1787"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迁移工具</w:t>
            </w:r>
          </w:p>
        </w:tc>
        <w:tc>
          <w:tcPr>
            <w:tcW w:w="5536"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提供同品牌自研的迁移工具，无需采购第三方迁移服务，支持原主机和异构目标机之间的自动化迁移功能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183" w:type="dxa"/>
            <w:vMerge w:val="continue"/>
            <w:shd w:val="clear" w:color="auto" w:fill="auto"/>
            <w:vAlign w:val="center"/>
          </w:tcPr>
          <w:p>
            <w:pPr>
              <w:spacing w:line="360" w:lineRule="auto"/>
              <w:ind w:firstLine="900" w:firstLineChars="500"/>
              <w:jc w:val="both"/>
              <w:rPr>
                <w:rFonts w:ascii="宋体" w:hAnsi="宋体" w:cs="宋体"/>
                <w:kern w:val="0"/>
                <w:sz w:val="18"/>
                <w:szCs w:val="18"/>
              </w:rPr>
            </w:pPr>
          </w:p>
        </w:tc>
        <w:tc>
          <w:tcPr>
            <w:tcW w:w="1787"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虚拟化拓扑</w:t>
            </w:r>
          </w:p>
        </w:tc>
        <w:tc>
          <w:tcPr>
            <w:tcW w:w="5536"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支持对整个平台虚拟设备实现统一的管理，虚拟化 WEB 管理平台可以完成网络拓扑的构建，完成各类虚拟设备的自助逻辑编排，支持在管理平台上连接、开启、关闭各类虚拟设备，拓扑呈现业务流量信息，所画即所得，方便运维管理。要求提供CNAS认可的检测机构出具的检测报告检测结果及检测结果截图页加盖制造商公章作为证明材料，未提供视为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1183" w:type="dxa"/>
            <w:vMerge w:val="restart"/>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智能运维参数</w:t>
            </w:r>
          </w:p>
        </w:tc>
        <w:tc>
          <w:tcPr>
            <w:tcW w:w="1787"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可靠性中心</w:t>
            </w:r>
          </w:p>
        </w:tc>
        <w:tc>
          <w:tcPr>
            <w:tcW w:w="5536"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可视化实时监控中心，针对超融合整体软硬件故障问题，可视化实时监控中心从硬件可靠性（包括CPU、内存、磁盘、物理网卡和Raid卡）、系统可靠性（包括集群主机、分布式存储、集群网络配置状态和集群资源过载状态）、服务可靠性（包括站点容灾、集群可靠性HA、应用HA、计算资源DRS、虚拟机运行状态和虚拟机备份）三大层面进行实时监控、分层展示，运维人员可以直观查看集群的整体运行情况，可以快速诊断集群的健康状态；同时支持对无需关注的检测异常启用屏蔽功能，启用屏蔽功能的检测异常将不会上报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183" w:type="dxa"/>
            <w:vMerge w:val="continue"/>
            <w:shd w:val="clear" w:color="auto" w:fill="auto"/>
            <w:vAlign w:val="center"/>
          </w:tcPr>
          <w:p>
            <w:pPr>
              <w:spacing w:line="360" w:lineRule="auto"/>
              <w:ind w:firstLine="900" w:firstLineChars="500"/>
              <w:jc w:val="both"/>
              <w:rPr>
                <w:rFonts w:ascii="宋体" w:hAnsi="宋体" w:cs="宋体"/>
                <w:kern w:val="0"/>
                <w:sz w:val="18"/>
                <w:szCs w:val="18"/>
              </w:rPr>
            </w:pPr>
          </w:p>
        </w:tc>
        <w:tc>
          <w:tcPr>
            <w:tcW w:w="1787"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业务操作易用性</w:t>
            </w:r>
          </w:p>
        </w:tc>
        <w:tc>
          <w:tcPr>
            <w:tcW w:w="5536"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支持一键创建虚机（包括CPU、内存、操作系统等）、直观快捷的虚机管理、贴心的回收站功能、所画即所得资源编排等方便用户操作和管理资源的功能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183" w:type="dxa"/>
            <w:vMerge w:val="continue"/>
            <w:shd w:val="clear" w:color="auto" w:fill="auto"/>
            <w:vAlign w:val="center"/>
          </w:tcPr>
          <w:p>
            <w:pPr>
              <w:spacing w:line="360" w:lineRule="auto"/>
              <w:ind w:firstLine="900" w:firstLineChars="500"/>
              <w:jc w:val="both"/>
              <w:rPr>
                <w:rFonts w:ascii="宋体" w:hAnsi="宋体" w:cs="宋体"/>
                <w:kern w:val="0"/>
                <w:sz w:val="18"/>
                <w:szCs w:val="18"/>
              </w:rPr>
            </w:pPr>
          </w:p>
        </w:tc>
        <w:tc>
          <w:tcPr>
            <w:tcW w:w="1787"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硬件资源纠错</w:t>
            </w:r>
          </w:p>
        </w:tc>
        <w:tc>
          <w:tcPr>
            <w:tcW w:w="5536"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支持内存ECC自动纠错机制，当扫描到物理主机的内存条出现ECC CE和UE错误时，能够将对应内存空间进行隔离并定位故障内存的槽位，减少硬件问题对业务的影响（需提供具有CNAS、CMA资质的第三方测试机构的证明材料，至少包含报告首页，对应功能测试页和报告尾页），并加盖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183" w:type="dxa"/>
            <w:vMerge w:val="continue"/>
            <w:shd w:val="clear" w:color="auto" w:fill="auto"/>
            <w:vAlign w:val="center"/>
          </w:tcPr>
          <w:p>
            <w:pPr>
              <w:spacing w:line="360" w:lineRule="auto"/>
              <w:ind w:firstLine="900" w:firstLineChars="500"/>
              <w:jc w:val="both"/>
              <w:rPr>
                <w:rFonts w:ascii="宋体" w:hAnsi="宋体" w:cs="宋体"/>
                <w:kern w:val="0"/>
                <w:sz w:val="18"/>
                <w:szCs w:val="18"/>
              </w:rPr>
            </w:pPr>
          </w:p>
        </w:tc>
        <w:tc>
          <w:tcPr>
            <w:tcW w:w="1787"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SSD硬盘寿命检测</w:t>
            </w:r>
          </w:p>
        </w:tc>
        <w:tc>
          <w:tcPr>
            <w:tcW w:w="5536"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支持实时展示SSD固态硬盘寿命信息，以百分比展示SSD固态硬盘剩余寿命，提醒用户及时更换硬盘，保证客户业务的可连续性，提供功能截图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3" w:type="dxa"/>
            <w:vMerge w:val="restart"/>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计算虚拟化</w:t>
            </w:r>
          </w:p>
        </w:tc>
        <w:tc>
          <w:tcPr>
            <w:tcW w:w="1787"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基本要求</w:t>
            </w:r>
          </w:p>
        </w:tc>
        <w:tc>
          <w:tcPr>
            <w:tcW w:w="5536"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虚拟机之间可以做到隔离保护，其中每一个虚拟机发生故障都不会影响同一个物理机上的其它虚拟机运行，每个虚拟机上的用户权限只限于本虚拟机之内，以保障系统平台的安全性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183" w:type="dxa"/>
            <w:vMerge w:val="continue"/>
            <w:shd w:val="clear" w:color="auto" w:fill="auto"/>
            <w:vAlign w:val="center"/>
          </w:tcPr>
          <w:p>
            <w:pPr>
              <w:spacing w:line="360" w:lineRule="auto"/>
              <w:ind w:firstLine="900" w:firstLineChars="500"/>
              <w:jc w:val="both"/>
              <w:rPr>
                <w:rFonts w:ascii="宋体" w:hAnsi="宋体" w:cs="宋体"/>
                <w:kern w:val="0"/>
                <w:sz w:val="18"/>
                <w:szCs w:val="18"/>
              </w:rPr>
            </w:pPr>
          </w:p>
        </w:tc>
        <w:tc>
          <w:tcPr>
            <w:tcW w:w="1787" w:type="dxa"/>
            <w:shd w:val="clear" w:color="auto" w:fill="auto"/>
            <w:vAlign w:val="center"/>
          </w:tcPr>
          <w:p>
            <w:pPr>
              <w:spacing w:line="360" w:lineRule="auto"/>
              <w:jc w:val="both"/>
              <w:rPr>
                <w:rFonts w:ascii="宋体" w:hAnsi="宋体" w:cs="宋体"/>
                <w:kern w:val="0"/>
                <w:sz w:val="18"/>
                <w:szCs w:val="18"/>
              </w:rPr>
            </w:pPr>
            <w:r>
              <w:rPr>
                <w:rFonts w:hint="eastAsia" w:ascii="方正仿宋_GBK" w:hAnsi="宋体" w:eastAsia="方正仿宋_GBK"/>
                <w:sz w:val="32"/>
                <w:szCs w:val="32"/>
              </w:rPr>
              <w:t>★</w:t>
            </w:r>
            <w:r>
              <w:rPr>
                <w:rFonts w:hint="eastAsia" w:ascii="宋体" w:hAnsi="宋体" w:cs="宋体"/>
                <w:kern w:val="0"/>
                <w:sz w:val="18"/>
                <w:szCs w:val="18"/>
              </w:rPr>
              <w:t>功能要求</w:t>
            </w:r>
          </w:p>
        </w:tc>
        <w:tc>
          <w:tcPr>
            <w:tcW w:w="5536"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提供虚拟机回收站功能，统一管理被删除的虚拟机，防止因虚拟机误删除导致数据丢失，支持设置回收站文件保存周期，超期的文件将被自动删除。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83" w:type="dxa"/>
            <w:vMerge w:val="continue"/>
            <w:shd w:val="clear" w:color="auto" w:fill="auto"/>
            <w:vAlign w:val="center"/>
          </w:tcPr>
          <w:p>
            <w:pPr>
              <w:spacing w:line="360" w:lineRule="auto"/>
              <w:ind w:firstLine="900" w:firstLineChars="500"/>
              <w:jc w:val="both"/>
              <w:rPr>
                <w:rFonts w:ascii="宋体" w:hAnsi="宋体" w:cs="宋体"/>
                <w:kern w:val="0"/>
                <w:sz w:val="18"/>
                <w:szCs w:val="18"/>
              </w:rPr>
            </w:pPr>
          </w:p>
        </w:tc>
        <w:tc>
          <w:tcPr>
            <w:tcW w:w="1787" w:type="dxa"/>
            <w:shd w:val="clear" w:color="auto" w:fill="auto"/>
            <w:vAlign w:val="center"/>
          </w:tcPr>
          <w:p>
            <w:pPr>
              <w:spacing w:line="360" w:lineRule="auto"/>
              <w:jc w:val="both"/>
              <w:rPr>
                <w:rFonts w:ascii="方正仿宋_GBK" w:hAnsi="宋体" w:eastAsia="方正仿宋_GBK"/>
                <w:sz w:val="32"/>
                <w:szCs w:val="32"/>
              </w:rPr>
            </w:pPr>
            <w:r>
              <w:rPr>
                <w:rFonts w:hint="eastAsia" w:ascii="宋体" w:hAnsi="宋体" w:cs="宋体"/>
                <w:kern w:val="0"/>
                <w:sz w:val="18"/>
                <w:szCs w:val="18"/>
              </w:rPr>
              <w:t>功能要求</w:t>
            </w:r>
          </w:p>
        </w:tc>
        <w:tc>
          <w:tcPr>
            <w:tcW w:w="5536"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虚拟机资源告警项支持虚拟机CPU利用率、内存利用率，虚拟机单网口链接session数过高、虚拟机过期时间，并检测异常状态持续时间，支持检测虚拟机镜像文件损坏，备份失败，虚拟机与外部网络不通的监控告警，用户可自定义告警项并支持通过邮件和短信进行告警。提供产品功能截图，并加盖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83" w:type="dxa"/>
            <w:vMerge w:val="continue"/>
            <w:shd w:val="clear" w:color="auto" w:fill="auto"/>
            <w:vAlign w:val="center"/>
          </w:tcPr>
          <w:p>
            <w:pPr>
              <w:spacing w:line="360" w:lineRule="auto"/>
              <w:ind w:firstLine="900" w:firstLineChars="500"/>
              <w:jc w:val="both"/>
              <w:rPr>
                <w:rFonts w:ascii="宋体" w:hAnsi="宋体" w:cs="宋体"/>
                <w:kern w:val="0"/>
                <w:sz w:val="18"/>
                <w:szCs w:val="18"/>
              </w:rPr>
            </w:pPr>
          </w:p>
        </w:tc>
        <w:tc>
          <w:tcPr>
            <w:tcW w:w="1787" w:type="dxa"/>
            <w:shd w:val="clear" w:color="auto" w:fill="auto"/>
            <w:vAlign w:val="center"/>
          </w:tcPr>
          <w:p>
            <w:pPr>
              <w:spacing w:line="360" w:lineRule="auto"/>
              <w:jc w:val="both"/>
              <w:rPr>
                <w:rFonts w:ascii="宋体" w:hAnsi="宋体" w:cs="宋体"/>
                <w:kern w:val="0"/>
                <w:sz w:val="18"/>
                <w:szCs w:val="18"/>
              </w:rPr>
            </w:pPr>
            <w:r>
              <w:rPr>
                <w:rFonts w:hint="eastAsia" w:ascii="方正仿宋_GBK" w:hAnsi="宋体" w:eastAsia="方正仿宋_GBK"/>
                <w:sz w:val="32"/>
                <w:szCs w:val="32"/>
              </w:rPr>
              <w:t>★</w:t>
            </w:r>
            <w:r>
              <w:rPr>
                <w:rFonts w:hint="eastAsia" w:ascii="宋体" w:hAnsi="宋体" w:cs="宋体"/>
                <w:kern w:val="0"/>
                <w:sz w:val="18"/>
                <w:szCs w:val="18"/>
              </w:rPr>
              <w:t>功能要求</w:t>
            </w:r>
          </w:p>
        </w:tc>
        <w:tc>
          <w:tcPr>
            <w:tcW w:w="5536"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支持将多个物理服务器组成集群，可基于CPU、内存、网络流量、存储容量、磁盘IO等资源利用率进行动态资源调度功能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83" w:type="dxa"/>
            <w:vMerge w:val="continue"/>
            <w:shd w:val="clear" w:color="auto" w:fill="auto"/>
            <w:vAlign w:val="center"/>
          </w:tcPr>
          <w:p>
            <w:pPr>
              <w:spacing w:line="360" w:lineRule="auto"/>
              <w:ind w:firstLine="900" w:firstLineChars="500"/>
              <w:jc w:val="both"/>
              <w:rPr>
                <w:rFonts w:ascii="宋体" w:hAnsi="宋体" w:cs="宋体"/>
                <w:kern w:val="0"/>
                <w:sz w:val="18"/>
                <w:szCs w:val="18"/>
              </w:rPr>
            </w:pPr>
          </w:p>
        </w:tc>
        <w:tc>
          <w:tcPr>
            <w:tcW w:w="1787"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功能要求</w:t>
            </w:r>
          </w:p>
        </w:tc>
        <w:tc>
          <w:tcPr>
            <w:tcW w:w="5536"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支持虚拟机动态资源添加操作，可以通过阈值设置查看CPU和内存资源利用率，可以对虚拟机的CPU和内存使用不足时进行自动为虚拟机添加CPU 和内存资源，可以保存虚拟机动态资源添加操作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183" w:type="dxa"/>
            <w:vMerge w:val="continue"/>
            <w:shd w:val="clear" w:color="auto" w:fill="auto"/>
            <w:vAlign w:val="center"/>
          </w:tcPr>
          <w:p>
            <w:pPr>
              <w:spacing w:line="360" w:lineRule="auto"/>
              <w:ind w:firstLine="900" w:firstLineChars="500"/>
              <w:jc w:val="both"/>
              <w:rPr>
                <w:rFonts w:ascii="宋体" w:hAnsi="宋体" w:cs="宋体"/>
                <w:kern w:val="0"/>
                <w:sz w:val="18"/>
                <w:szCs w:val="18"/>
              </w:rPr>
            </w:pPr>
          </w:p>
        </w:tc>
        <w:tc>
          <w:tcPr>
            <w:tcW w:w="1787"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功能要求</w:t>
            </w:r>
          </w:p>
        </w:tc>
        <w:tc>
          <w:tcPr>
            <w:tcW w:w="5536"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在超融合管理平台界面上提供虚拟机删除、开关机、挂起与恢复、重启、关闭、关闭电源、克隆、迁移、备份、模板导出、快照、标签管理等功能，并支持批量操作。提供产品功能截图，并加盖厂商公章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183" w:type="dxa"/>
            <w:vMerge w:val="continue"/>
            <w:shd w:val="clear" w:color="auto" w:fill="auto"/>
            <w:vAlign w:val="center"/>
          </w:tcPr>
          <w:p>
            <w:pPr>
              <w:spacing w:line="360" w:lineRule="auto"/>
              <w:ind w:firstLine="900" w:firstLineChars="500"/>
              <w:jc w:val="both"/>
              <w:rPr>
                <w:rFonts w:ascii="宋体" w:hAnsi="宋体" w:cs="宋体"/>
                <w:kern w:val="0"/>
                <w:sz w:val="18"/>
                <w:szCs w:val="18"/>
              </w:rPr>
            </w:pPr>
          </w:p>
        </w:tc>
        <w:tc>
          <w:tcPr>
            <w:tcW w:w="1787"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功能要求</w:t>
            </w:r>
          </w:p>
        </w:tc>
        <w:tc>
          <w:tcPr>
            <w:tcW w:w="5536"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支持对平台虚拟机的精细化权限管理，可根据单个虚拟机开关机、打开控制台、删除等操作设定不同的权限，管理员也可以根据用户需求合理分配权限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183" w:type="dxa"/>
            <w:vMerge w:val="continue"/>
            <w:shd w:val="clear" w:color="auto" w:fill="auto"/>
            <w:vAlign w:val="center"/>
          </w:tcPr>
          <w:p>
            <w:pPr>
              <w:spacing w:line="360" w:lineRule="auto"/>
              <w:ind w:firstLine="900" w:firstLineChars="500"/>
              <w:jc w:val="both"/>
              <w:rPr>
                <w:rFonts w:ascii="宋体" w:hAnsi="宋体" w:cs="宋体"/>
                <w:kern w:val="0"/>
                <w:sz w:val="18"/>
                <w:szCs w:val="18"/>
              </w:rPr>
            </w:pPr>
          </w:p>
        </w:tc>
        <w:tc>
          <w:tcPr>
            <w:tcW w:w="1787" w:type="dxa"/>
            <w:shd w:val="clear" w:color="auto" w:fill="auto"/>
            <w:vAlign w:val="center"/>
          </w:tcPr>
          <w:p>
            <w:pPr>
              <w:spacing w:line="360" w:lineRule="auto"/>
              <w:jc w:val="both"/>
              <w:rPr>
                <w:rFonts w:ascii="宋体" w:hAnsi="宋体" w:cs="宋体"/>
                <w:kern w:val="0"/>
                <w:sz w:val="18"/>
                <w:szCs w:val="18"/>
              </w:rPr>
            </w:pPr>
            <w:r>
              <w:rPr>
                <w:rFonts w:hint="eastAsia" w:ascii="方正仿宋_GBK" w:hAnsi="宋体" w:eastAsia="方正仿宋_GBK"/>
                <w:sz w:val="32"/>
                <w:szCs w:val="32"/>
              </w:rPr>
              <w:t>★</w:t>
            </w:r>
            <w:r>
              <w:rPr>
                <w:rFonts w:hint="eastAsia" w:ascii="宋体" w:hAnsi="宋体" w:cs="宋体"/>
                <w:kern w:val="0"/>
                <w:sz w:val="18"/>
                <w:szCs w:val="18"/>
              </w:rPr>
              <w:t>功能要求</w:t>
            </w:r>
          </w:p>
        </w:tc>
        <w:tc>
          <w:tcPr>
            <w:tcW w:w="5536"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可以查看高可用（HA）配置页面信息，包括故障检测敏感度和故障迁移选项，可以对故障检测敏感度进行设置，包括高、中高、中、中低和低，可以查看故障迁移列表项，包括管理通信口、虚拟机直接或间隔一个交换机连接的物理出口、虚拟机所在存储和启用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183" w:type="dxa"/>
            <w:vMerge w:val="restart"/>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存储虚拟化</w:t>
            </w:r>
          </w:p>
        </w:tc>
        <w:tc>
          <w:tcPr>
            <w:tcW w:w="1787" w:type="dxa"/>
            <w:shd w:val="clear" w:color="auto" w:fill="auto"/>
            <w:vAlign w:val="center"/>
          </w:tcPr>
          <w:p>
            <w:pPr>
              <w:spacing w:line="360" w:lineRule="auto"/>
              <w:jc w:val="both"/>
              <w:rPr>
                <w:rFonts w:ascii="宋体" w:hAnsi="宋体" w:cs="宋体"/>
                <w:kern w:val="0"/>
                <w:sz w:val="18"/>
                <w:szCs w:val="18"/>
              </w:rPr>
            </w:pPr>
            <w:r>
              <w:rPr>
                <w:rFonts w:hint="eastAsia" w:ascii="方正仿宋_GBK" w:hAnsi="宋体" w:eastAsia="方正仿宋_GBK"/>
                <w:sz w:val="32"/>
                <w:szCs w:val="32"/>
              </w:rPr>
              <w:t>★</w:t>
            </w:r>
            <w:r>
              <w:rPr>
                <w:rFonts w:hint="eastAsia" w:ascii="宋体" w:hAnsi="宋体" w:cs="宋体"/>
                <w:kern w:val="0"/>
                <w:sz w:val="18"/>
                <w:szCs w:val="18"/>
              </w:rPr>
              <w:t>统一存储</w:t>
            </w:r>
          </w:p>
        </w:tc>
        <w:tc>
          <w:tcPr>
            <w:tcW w:w="5536"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采用分布式的软件定义存储架构，在通用x86服务器部署，把所有服务器硬盘组织成一个虚拟存储资源池，提供分布式存储服务，无需独立的元数据及控制器节点；通过新增物理服务器可以实现存储容量和性能的横向扩展（Scale-Out架构），扩容过程保证业务零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83" w:type="dxa"/>
            <w:vMerge w:val="continue"/>
            <w:shd w:val="clear" w:color="auto" w:fill="auto"/>
            <w:vAlign w:val="center"/>
          </w:tcPr>
          <w:p>
            <w:pPr>
              <w:spacing w:line="360" w:lineRule="auto"/>
              <w:ind w:firstLine="900" w:firstLineChars="500"/>
              <w:jc w:val="both"/>
              <w:rPr>
                <w:rFonts w:ascii="宋体" w:hAnsi="宋体" w:cs="宋体"/>
                <w:kern w:val="0"/>
                <w:sz w:val="18"/>
                <w:szCs w:val="18"/>
              </w:rPr>
            </w:pPr>
          </w:p>
        </w:tc>
        <w:tc>
          <w:tcPr>
            <w:tcW w:w="1787" w:type="dxa"/>
            <w:vMerge w:val="restart"/>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文件存储</w:t>
            </w:r>
          </w:p>
        </w:tc>
        <w:tc>
          <w:tcPr>
            <w:tcW w:w="5536"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文件存储支持协议包括：FTP、CIFS、NFS、HTTP；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183" w:type="dxa"/>
            <w:vMerge w:val="continue"/>
            <w:shd w:val="clear" w:color="auto" w:fill="auto"/>
            <w:vAlign w:val="center"/>
          </w:tcPr>
          <w:p>
            <w:pPr>
              <w:spacing w:line="360" w:lineRule="auto"/>
              <w:ind w:firstLine="900" w:firstLineChars="500"/>
              <w:jc w:val="both"/>
              <w:rPr>
                <w:rFonts w:ascii="宋体" w:hAnsi="宋体" w:cs="宋体"/>
                <w:kern w:val="0"/>
                <w:sz w:val="18"/>
                <w:szCs w:val="18"/>
              </w:rPr>
            </w:pPr>
          </w:p>
        </w:tc>
        <w:tc>
          <w:tcPr>
            <w:tcW w:w="1787" w:type="dxa"/>
            <w:vMerge w:val="continue"/>
            <w:shd w:val="clear" w:color="auto" w:fill="auto"/>
            <w:vAlign w:val="center"/>
          </w:tcPr>
          <w:p>
            <w:pPr>
              <w:spacing w:line="360" w:lineRule="auto"/>
              <w:ind w:firstLine="900" w:firstLineChars="500"/>
              <w:jc w:val="both"/>
              <w:rPr>
                <w:rFonts w:ascii="宋体" w:hAnsi="宋体" w:cs="宋体"/>
                <w:kern w:val="0"/>
                <w:sz w:val="18"/>
                <w:szCs w:val="18"/>
              </w:rPr>
            </w:pPr>
          </w:p>
        </w:tc>
        <w:tc>
          <w:tcPr>
            <w:tcW w:w="5536"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提供多种NAS增值服务功能，包括：权限管理、快照管理(WORM)、共享目录管理等；NAS服务可以采用多服务节点高可用，并支持负载均衡。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183" w:type="dxa"/>
            <w:vMerge w:val="continue"/>
            <w:shd w:val="clear" w:color="auto" w:fill="auto"/>
            <w:vAlign w:val="center"/>
          </w:tcPr>
          <w:p>
            <w:pPr>
              <w:spacing w:line="360" w:lineRule="auto"/>
              <w:ind w:firstLine="900" w:firstLineChars="500"/>
              <w:jc w:val="both"/>
              <w:rPr>
                <w:rFonts w:ascii="宋体" w:hAnsi="宋体" w:cs="宋体"/>
                <w:kern w:val="0"/>
                <w:sz w:val="18"/>
                <w:szCs w:val="18"/>
              </w:rPr>
            </w:pPr>
          </w:p>
        </w:tc>
        <w:tc>
          <w:tcPr>
            <w:tcW w:w="1787" w:type="dxa"/>
            <w:shd w:val="clear" w:color="auto" w:fill="auto"/>
            <w:vAlign w:val="center"/>
          </w:tcPr>
          <w:p>
            <w:pPr>
              <w:spacing w:line="360" w:lineRule="auto"/>
              <w:jc w:val="both"/>
              <w:rPr>
                <w:rFonts w:ascii="宋体" w:hAnsi="宋体" w:cs="宋体"/>
                <w:kern w:val="0"/>
                <w:sz w:val="18"/>
                <w:szCs w:val="18"/>
              </w:rPr>
            </w:pPr>
            <w:r>
              <w:rPr>
                <w:rFonts w:hint="eastAsia" w:ascii="方正仿宋_GBK" w:hAnsi="宋体" w:eastAsia="方正仿宋_GBK"/>
                <w:sz w:val="32"/>
                <w:szCs w:val="32"/>
              </w:rPr>
              <w:t>★</w:t>
            </w:r>
            <w:r>
              <w:rPr>
                <w:rFonts w:hint="eastAsia" w:ascii="宋体" w:hAnsi="宋体" w:cs="宋体"/>
                <w:kern w:val="0"/>
                <w:sz w:val="18"/>
                <w:szCs w:val="18"/>
              </w:rPr>
              <w:t>块存储</w:t>
            </w:r>
          </w:p>
        </w:tc>
        <w:tc>
          <w:tcPr>
            <w:tcW w:w="5536"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支持多种存储配置；磁盘预分配根据业务需求分配固定的物理存储空间、磁盘精简分配根据应用实际写需要时才分配相应的物理存储空间，磁盘动态分配机制根据业务动态需求分配存储资源，实现预分配的高性能和提高磁盘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183" w:type="dxa"/>
            <w:vMerge w:val="continue"/>
            <w:shd w:val="clear" w:color="auto" w:fill="auto"/>
            <w:vAlign w:val="center"/>
          </w:tcPr>
          <w:p>
            <w:pPr>
              <w:spacing w:line="360" w:lineRule="auto"/>
              <w:ind w:firstLine="900" w:firstLineChars="500"/>
              <w:jc w:val="both"/>
              <w:rPr>
                <w:rFonts w:ascii="宋体" w:hAnsi="宋体" w:cs="宋体"/>
                <w:kern w:val="0"/>
                <w:sz w:val="18"/>
                <w:szCs w:val="18"/>
              </w:rPr>
            </w:pPr>
          </w:p>
        </w:tc>
        <w:tc>
          <w:tcPr>
            <w:tcW w:w="1787"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可靠性</w:t>
            </w:r>
          </w:p>
        </w:tc>
        <w:tc>
          <w:tcPr>
            <w:tcW w:w="5536"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支持坏道修复功能，发现坏道后，主动修复坏道区域的数据，及时恢复数据副本的冗余性；当硬盘的坏道数过多，系统能自动将该盘的数据迁移至其他健康的硬盘上，保障数据的安全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183" w:type="dxa"/>
            <w:vMerge w:val="continue"/>
            <w:shd w:val="clear" w:color="auto" w:fill="auto"/>
            <w:vAlign w:val="center"/>
          </w:tcPr>
          <w:p>
            <w:pPr>
              <w:spacing w:line="360" w:lineRule="auto"/>
              <w:ind w:firstLine="900" w:firstLineChars="500"/>
              <w:jc w:val="both"/>
              <w:rPr>
                <w:rFonts w:ascii="宋体" w:hAnsi="宋体" w:cs="宋体"/>
                <w:kern w:val="0"/>
                <w:sz w:val="18"/>
                <w:szCs w:val="18"/>
              </w:rPr>
            </w:pPr>
          </w:p>
        </w:tc>
        <w:tc>
          <w:tcPr>
            <w:tcW w:w="1787"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可靠性</w:t>
            </w:r>
          </w:p>
        </w:tc>
        <w:tc>
          <w:tcPr>
            <w:tcW w:w="5536"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支持数据重建智能保护业务性能，可以对数据重建速度进行智能限速，避免数据重建过程中IO性能占用导致对业务的性能造成影响。提供产品功能截图，并加盖厂商公章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183" w:type="dxa"/>
            <w:vMerge w:val="continue"/>
            <w:shd w:val="clear" w:color="auto" w:fill="auto"/>
            <w:vAlign w:val="center"/>
          </w:tcPr>
          <w:p>
            <w:pPr>
              <w:spacing w:line="360" w:lineRule="auto"/>
              <w:ind w:firstLine="900" w:firstLineChars="500"/>
              <w:jc w:val="both"/>
              <w:rPr>
                <w:rFonts w:ascii="宋体" w:hAnsi="宋体" w:cs="宋体"/>
                <w:kern w:val="0"/>
                <w:sz w:val="18"/>
                <w:szCs w:val="18"/>
              </w:rPr>
            </w:pPr>
          </w:p>
        </w:tc>
        <w:tc>
          <w:tcPr>
            <w:tcW w:w="1787"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冗余策略</w:t>
            </w:r>
          </w:p>
        </w:tc>
        <w:tc>
          <w:tcPr>
            <w:tcW w:w="5536"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冗余策略灵活要求：一组硬盘池（组）可以同时支持2副本和3副本策略，最大限度地利用磁盘容量，不需要用额外的磁盘组来承载两种不同策略，大大降低客户的成本。此外，支持虚机磁盘冗余策略的“在线”调整，大大方便了运维，避免客户业务的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183" w:type="dxa"/>
            <w:vMerge w:val="continue"/>
            <w:shd w:val="clear" w:color="auto" w:fill="auto"/>
            <w:vAlign w:val="center"/>
          </w:tcPr>
          <w:p>
            <w:pPr>
              <w:spacing w:line="360" w:lineRule="auto"/>
              <w:ind w:firstLine="900" w:firstLineChars="500"/>
              <w:jc w:val="both"/>
              <w:rPr>
                <w:rFonts w:ascii="宋体" w:hAnsi="宋体" w:cs="宋体"/>
                <w:kern w:val="0"/>
                <w:sz w:val="18"/>
                <w:szCs w:val="18"/>
              </w:rPr>
            </w:pPr>
          </w:p>
        </w:tc>
        <w:tc>
          <w:tcPr>
            <w:tcW w:w="1787"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性能</w:t>
            </w:r>
          </w:p>
        </w:tc>
        <w:tc>
          <w:tcPr>
            <w:tcW w:w="5536"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支持对虚拟机或虚拟磁盘设置数据分布策略，当采用副本聚合策略时，可以保证以性能优先为原则，实现IO本地读效果，当采用副本散列策略时，可以保证虚拟机以分布均匀优先为原则，打散分布均匀在各物理主机上。提供功能截图证明，并加盖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183" w:type="dxa"/>
            <w:vMerge w:val="continue"/>
            <w:shd w:val="clear" w:color="auto" w:fill="auto"/>
            <w:vAlign w:val="center"/>
          </w:tcPr>
          <w:p>
            <w:pPr>
              <w:spacing w:line="360" w:lineRule="auto"/>
              <w:ind w:firstLine="900" w:firstLineChars="500"/>
              <w:jc w:val="both"/>
              <w:rPr>
                <w:rFonts w:ascii="宋体" w:hAnsi="宋体" w:cs="宋体"/>
                <w:kern w:val="0"/>
                <w:sz w:val="18"/>
                <w:szCs w:val="18"/>
              </w:rPr>
            </w:pPr>
          </w:p>
        </w:tc>
        <w:tc>
          <w:tcPr>
            <w:tcW w:w="1787"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扩展性</w:t>
            </w:r>
          </w:p>
        </w:tc>
        <w:tc>
          <w:tcPr>
            <w:tcW w:w="5536"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支持构建存储集群，集群内节点可添加和删除，并且可支持添加删除硬盘并实现硬盘在线/离线扩容、更换功能，并能实现磁盘的批量扩容，新增磁盘或者节点后，系统可自动实现数据均衡，保障资源的平衡利用，随着磁盘及节点的扩展，存储性能可实现线性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183" w:type="dxa"/>
            <w:vMerge w:val="continue"/>
            <w:shd w:val="clear" w:color="auto" w:fill="auto"/>
            <w:vAlign w:val="center"/>
          </w:tcPr>
          <w:p>
            <w:pPr>
              <w:spacing w:line="360" w:lineRule="auto"/>
              <w:ind w:firstLine="900" w:firstLineChars="500"/>
              <w:jc w:val="both"/>
              <w:rPr>
                <w:rFonts w:ascii="宋体" w:hAnsi="宋体" w:cs="宋体"/>
                <w:kern w:val="0"/>
                <w:sz w:val="18"/>
                <w:szCs w:val="18"/>
              </w:rPr>
            </w:pPr>
          </w:p>
        </w:tc>
        <w:tc>
          <w:tcPr>
            <w:tcW w:w="1787"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管理和维护性</w:t>
            </w:r>
          </w:p>
        </w:tc>
        <w:tc>
          <w:tcPr>
            <w:tcW w:w="5536"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支持通过B/S管理界面对存储基础架构进行集中的配置，如存储资源池、集群、集群节点、磁盘等资源进行合理的划分和配置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83" w:type="dxa"/>
            <w:shd w:val="clear" w:color="auto" w:fill="auto"/>
            <w:vAlign w:val="center"/>
          </w:tcPr>
          <w:p>
            <w:pPr>
              <w:spacing w:line="360" w:lineRule="auto"/>
              <w:jc w:val="both"/>
              <w:rPr>
                <w:rFonts w:ascii="宋体" w:hAnsi="宋体" w:cs="宋体"/>
                <w:kern w:val="0"/>
                <w:sz w:val="18"/>
                <w:szCs w:val="18"/>
              </w:rPr>
            </w:pPr>
            <w:r>
              <w:rPr>
                <w:rFonts w:hint="eastAsia" w:ascii="宋体" w:hAnsi="宋体" w:cs="宋体"/>
                <w:kern w:val="0"/>
                <w:sz w:val="18"/>
                <w:szCs w:val="18"/>
              </w:rPr>
              <w:t>要求</w:t>
            </w:r>
          </w:p>
        </w:tc>
        <w:tc>
          <w:tcPr>
            <w:tcW w:w="1787" w:type="dxa"/>
            <w:shd w:val="clear" w:color="auto" w:fill="auto"/>
            <w:vAlign w:val="center"/>
          </w:tcPr>
          <w:p>
            <w:pPr>
              <w:spacing w:line="360" w:lineRule="auto"/>
              <w:jc w:val="both"/>
              <w:rPr>
                <w:rFonts w:ascii="宋体" w:hAnsi="宋体" w:cs="宋体"/>
                <w:kern w:val="0"/>
                <w:sz w:val="18"/>
                <w:szCs w:val="18"/>
              </w:rPr>
            </w:pPr>
            <w:r>
              <w:rPr>
                <w:rFonts w:hint="eastAsia" w:ascii="方正仿宋_GBK" w:hAnsi="宋体" w:eastAsia="方正仿宋_GBK"/>
                <w:sz w:val="32"/>
                <w:szCs w:val="32"/>
              </w:rPr>
              <w:t>★</w:t>
            </w:r>
            <w:r>
              <w:rPr>
                <w:rFonts w:hint="eastAsia" w:ascii="宋体" w:hAnsi="宋体" w:cs="宋体"/>
                <w:kern w:val="0"/>
                <w:sz w:val="18"/>
                <w:szCs w:val="18"/>
              </w:rPr>
              <w:t>配置要求</w:t>
            </w:r>
          </w:p>
        </w:tc>
        <w:tc>
          <w:tcPr>
            <w:tcW w:w="5536" w:type="dxa"/>
            <w:shd w:val="clear" w:color="auto" w:fill="auto"/>
            <w:noWrap/>
            <w:vAlign w:val="center"/>
          </w:tcPr>
          <w:p>
            <w:pPr>
              <w:spacing w:line="360" w:lineRule="auto"/>
              <w:jc w:val="both"/>
              <w:rPr>
                <w:rFonts w:hint="eastAsia" w:ascii="宋体" w:hAnsi="宋体" w:eastAsia="宋体" w:cs="宋体"/>
                <w:kern w:val="0"/>
                <w:sz w:val="18"/>
                <w:szCs w:val="18"/>
              </w:rPr>
            </w:pPr>
            <w:r>
              <w:rPr>
                <w:rFonts w:hint="eastAsia" w:ascii="宋体" w:hAnsi="宋体" w:eastAsia="宋体" w:cs="宋体"/>
                <w:kern w:val="0"/>
                <w:sz w:val="18"/>
                <w:szCs w:val="18"/>
              </w:rPr>
              <w:t>CPU：单节点≥2颗24核，主频≥2.1GHz，不低于(Intel Xeon-Gold 5318Y)级别；</w:t>
            </w:r>
          </w:p>
          <w:p>
            <w:pPr>
              <w:spacing w:line="360" w:lineRule="auto"/>
              <w:jc w:val="both"/>
              <w:rPr>
                <w:rFonts w:hint="eastAsia" w:ascii="宋体" w:hAnsi="宋体" w:eastAsia="宋体" w:cs="宋体"/>
                <w:kern w:val="0"/>
                <w:sz w:val="18"/>
                <w:szCs w:val="18"/>
              </w:rPr>
            </w:pPr>
            <w:r>
              <w:rPr>
                <w:rFonts w:hint="eastAsia" w:ascii="宋体" w:hAnsi="宋体" w:eastAsia="宋体" w:cs="宋体"/>
                <w:kern w:val="0"/>
                <w:sz w:val="18"/>
                <w:szCs w:val="18"/>
              </w:rPr>
              <w:t>内存：DDR4 RDIMM，单节点≥512GB，不低于3200 MHz</w:t>
            </w:r>
          </w:p>
          <w:p>
            <w:pPr>
              <w:spacing w:line="360" w:lineRule="auto"/>
              <w:jc w:val="both"/>
              <w:rPr>
                <w:rFonts w:hint="eastAsia" w:ascii="宋体" w:hAnsi="宋体" w:eastAsia="宋体" w:cs="宋体"/>
                <w:kern w:val="0"/>
                <w:sz w:val="18"/>
                <w:szCs w:val="18"/>
              </w:rPr>
            </w:pPr>
            <w:r>
              <w:rPr>
                <w:rFonts w:hint="eastAsia" w:ascii="宋体" w:hAnsi="宋体" w:eastAsia="宋体" w:cs="宋体"/>
                <w:kern w:val="0"/>
                <w:sz w:val="18"/>
                <w:szCs w:val="18"/>
              </w:rPr>
              <w:t>硬盘：单节点≥2*480GB SSD UCC，单节点≥4*4TB HDD UC通用硬盘模块；</w:t>
            </w:r>
          </w:p>
          <w:p>
            <w:pPr>
              <w:spacing w:line="360" w:lineRule="auto"/>
              <w:jc w:val="both"/>
              <w:rPr>
                <w:rFonts w:hint="eastAsia" w:ascii="宋体" w:hAnsi="宋体" w:eastAsia="宋体" w:cs="宋体"/>
                <w:kern w:val="0"/>
                <w:sz w:val="18"/>
                <w:szCs w:val="18"/>
              </w:rPr>
            </w:pPr>
            <w:r>
              <w:rPr>
                <w:rFonts w:hint="eastAsia" w:ascii="宋体" w:hAnsi="宋体" w:eastAsia="宋体" w:cs="宋体"/>
                <w:kern w:val="0"/>
                <w:sz w:val="18"/>
                <w:szCs w:val="18"/>
              </w:rPr>
              <w:t>1*12Gb 2端口SAS RAID卡(支持8个SAS口,2G缓存）；</w:t>
            </w:r>
          </w:p>
          <w:p>
            <w:pPr>
              <w:spacing w:line="360" w:lineRule="auto"/>
              <w:jc w:val="both"/>
              <w:rPr>
                <w:rFonts w:hint="eastAsia" w:ascii="宋体" w:hAnsi="宋体" w:eastAsia="宋体" w:cs="宋体"/>
                <w:kern w:val="0"/>
                <w:sz w:val="18"/>
                <w:szCs w:val="18"/>
              </w:rPr>
            </w:pPr>
            <w:r>
              <w:rPr>
                <w:rFonts w:hint="eastAsia" w:ascii="宋体" w:hAnsi="宋体" w:eastAsia="宋体" w:cs="宋体"/>
                <w:kern w:val="0"/>
                <w:sz w:val="18"/>
                <w:szCs w:val="18"/>
              </w:rPr>
              <w:t>≥800W交流&amp;240V高压直流电源模块(GW-R2-白金-轻载高效)；</w:t>
            </w:r>
          </w:p>
          <w:p>
            <w:pPr>
              <w:spacing w:line="360" w:lineRule="auto"/>
              <w:jc w:val="both"/>
              <w:rPr>
                <w:rFonts w:hint="eastAsia" w:ascii="宋体" w:hAnsi="宋体" w:eastAsia="宋体" w:cs="宋体"/>
                <w:kern w:val="0"/>
                <w:sz w:val="18"/>
                <w:szCs w:val="18"/>
              </w:rPr>
            </w:pPr>
            <w:r>
              <w:rPr>
                <w:rFonts w:hint="eastAsia" w:ascii="宋体" w:hAnsi="宋体" w:eastAsia="宋体" w:cs="宋体"/>
                <w:kern w:val="0"/>
                <w:sz w:val="18"/>
                <w:szCs w:val="18"/>
              </w:rPr>
              <w:t>≥2端口万兆光接口,</w:t>
            </w:r>
          </w:p>
          <w:p>
            <w:pPr>
              <w:spacing w:line="360" w:lineRule="auto"/>
              <w:jc w:val="both"/>
              <w:rPr>
                <w:rFonts w:hint="eastAsia" w:ascii="宋体" w:hAnsi="宋体" w:eastAsia="宋体" w:cs="宋体"/>
                <w:kern w:val="0"/>
                <w:sz w:val="18"/>
                <w:szCs w:val="18"/>
              </w:rPr>
            </w:pPr>
            <w:r>
              <w:rPr>
                <w:rFonts w:hint="eastAsia" w:ascii="宋体" w:hAnsi="宋体" w:eastAsia="宋体" w:cs="宋体"/>
                <w:kern w:val="0"/>
                <w:sz w:val="18"/>
                <w:szCs w:val="18"/>
              </w:rPr>
              <w:t>≥4端口1GE电接口,</w:t>
            </w:r>
          </w:p>
          <w:p>
            <w:pPr>
              <w:spacing w:line="360" w:lineRule="auto"/>
              <w:jc w:val="both"/>
              <w:rPr>
                <w:rFonts w:hint="eastAsia" w:ascii="宋体" w:hAnsi="宋体" w:eastAsia="宋体" w:cs="宋体"/>
                <w:kern w:val="0"/>
                <w:sz w:val="18"/>
                <w:szCs w:val="18"/>
              </w:rPr>
            </w:pPr>
            <w:r>
              <w:rPr>
                <w:rFonts w:hint="eastAsia" w:ascii="宋体" w:hAnsi="宋体" w:eastAsia="宋体" w:cs="宋体"/>
                <w:kern w:val="0"/>
                <w:sz w:val="18"/>
                <w:szCs w:val="18"/>
              </w:rPr>
              <w:t>包含2个物理CPU的计算虚拟化软件授权、</w:t>
            </w:r>
          </w:p>
          <w:p>
            <w:pPr>
              <w:spacing w:line="360" w:lineRule="auto"/>
              <w:jc w:val="both"/>
              <w:rPr>
                <w:rFonts w:hint="eastAsia" w:ascii="宋体" w:hAnsi="宋体" w:eastAsia="宋体" w:cs="宋体"/>
                <w:kern w:val="0"/>
                <w:sz w:val="18"/>
                <w:szCs w:val="18"/>
              </w:rPr>
            </w:pPr>
            <w:r>
              <w:rPr>
                <w:rFonts w:hint="eastAsia" w:ascii="宋体" w:hAnsi="宋体" w:eastAsia="宋体" w:cs="宋体"/>
                <w:kern w:val="0"/>
                <w:sz w:val="18"/>
                <w:szCs w:val="18"/>
              </w:rPr>
              <w:t>2个物理CPU的存储虚拟化软件授权、</w:t>
            </w:r>
          </w:p>
          <w:p>
            <w:pPr>
              <w:spacing w:line="360" w:lineRule="auto"/>
              <w:jc w:val="both"/>
              <w:rPr>
                <w:rFonts w:hint="eastAsia" w:ascii="宋体" w:hAnsi="宋体" w:eastAsia="宋体" w:cs="宋体"/>
                <w:kern w:val="0"/>
                <w:sz w:val="18"/>
                <w:szCs w:val="18"/>
              </w:rPr>
            </w:pPr>
            <w:r>
              <w:rPr>
                <w:rFonts w:hint="eastAsia" w:ascii="宋体" w:hAnsi="宋体" w:eastAsia="宋体" w:cs="宋体"/>
                <w:kern w:val="0"/>
                <w:sz w:val="18"/>
                <w:szCs w:val="18"/>
              </w:rPr>
              <w:t>2个物理CPU的超融合管理软件授权，</w:t>
            </w:r>
          </w:p>
          <w:p>
            <w:pPr>
              <w:spacing w:line="360" w:lineRule="auto"/>
              <w:jc w:val="both"/>
              <w:rPr>
                <w:rFonts w:hint="eastAsia" w:ascii="宋体" w:hAnsi="宋体" w:eastAsia="宋体" w:cs="宋体"/>
                <w:kern w:val="0"/>
                <w:sz w:val="18"/>
                <w:szCs w:val="18"/>
              </w:rPr>
            </w:pPr>
            <w:r>
              <w:rPr>
                <w:rFonts w:hint="eastAsia" w:ascii="宋体" w:hAnsi="宋体" w:eastAsia="宋体" w:cs="宋体"/>
                <w:kern w:val="0"/>
                <w:sz w:val="18"/>
                <w:szCs w:val="18"/>
              </w:rPr>
              <w:t>提供无代理虚拟化防病毒软件，</w:t>
            </w:r>
          </w:p>
          <w:p>
            <w:pPr>
              <w:spacing w:line="360" w:lineRule="auto"/>
              <w:jc w:val="both"/>
              <w:rPr>
                <w:rFonts w:hint="eastAsia" w:ascii="宋体" w:hAnsi="宋体" w:eastAsia="宋体" w:cs="宋体"/>
                <w:kern w:val="0"/>
                <w:sz w:val="18"/>
                <w:szCs w:val="18"/>
              </w:rPr>
            </w:pPr>
            <w:r>
              <w:rPr>
                <w:rFonts w:hint="eastAsia" w:ascii="宋体" w:hAnsi="宋体" w:eastAsia="宋体" w:cs="宋体"/>
                <w:kern w:val="0"/>
                <w:sz w:val="18"/>
                <w:szCs w:val="18"/>
              </w:rPr>
              <w:t>6颗CPU授权含一套管理平台，需与超融合同一品牌，</w:t>
            </w:r>
          </w:p>
          <w:p>
            <w:pPr>
              <w:spacing w:line="360" w:lineRule="auto"/>
              <w:jc w:val="both"/>
              <w:rPr>
                <w:rFonts w:hint="eastAsia" w:ascii="宋体" w:hAnsi="宋体" w:eastAsia="宋体" w:cs="宋体"/>
                <w:kern w:val="0"/>
                <w:sz w:val="18"/>
                <w:szCs w:val="18"/>
              </w:rPr>
            </w:pPr>
            <w:r>
              <w:rPr>
                <w:rFonts w:hint="eastAsia" w:ascii="宋体" w:hAnsi="宋体" w:eastAsia="宋体" w:cs="宋体"/>
                <w:kern w:val="0"/>
                <w:sz w:val="18"/>
                <w:szCs w:val="18"/>
              </w:rPr>
              <w:t>三年原厂服务。</w:t>
            </w:r>
          </w:p>
          <w:p>
            <w:pPr>
              <w:pStyle w:val="2"/>
            </w:pPr>
          </w:p>
        </w:tc>
      </w:tr>
    </w:tbl>
    <w:p>
      <w:pPr>
        <w:spacing w:line="360" w:lineRule="auto"/>
        <w:ind w:firstLine="436" w:firstLineChars="182"/>
        <w:rPr>
          <w:rFonts w:hint="eastAsia" w:asciiTheme="minorEastAsia" w:hAnsiTheme="minorEastAsia" w:eastAsiaTheme="minorEastAsia" w:cstheme="minorEastAsia"/>
          <w:bCs/>
          <w:sz w:val="24"/>
        </w:rPr>
      </w:pPr>
    </w:p>
    <w:p>
      <w:pPr>
        <w:spacing w:line="360" w:lineRule="auto"/>
        <w:ind w:firstLine="436" w:firstLineChars="182"/>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rPr>
        <w:t>3.</w:t>
      </w:r>
      <w:r>
        <w:rPr>
          <w:rFonts w:hint="eastAsia" w:asciiTheme="minorEastAsia" w:hAnsiTheme="minorEastAsia" w:eastAsiaTheme="minorEastAsia" w:cstheme="minorEastAsia"/>
          <w:bCs/>
          <w:sz w:val="24"/>
          <w:szCs w:val="24"/>
          <w:lang w:val="en-US" w:eastAsia="zh-CN"/>
        </w:rPr>
        <w:t>2 交换机</w:t>
      </w:r>
    </w:p>
    <w:p>
      <w:pPr>
        <w:pStyle w:val="2"/>
        <w:ind w:firstLine="480" w:firstLineChars="200"/>
        <w:rPr>
          <w:rFonts w:hint="default" w:ascii="Times New Roman" w:hAnsi="Times New Roman" w:eastAsia="宋体" w:cs="Times New Roman"/>
          <w:b w:val="0"/>
          <w:bCs w:val="0"/>
          <w:kern w:val="2"/>
          <w:sz w:val="24"/>
          <w:szCs w:val="24"/>
          <w:lang w:val="en-US" w:eastAsia="zh-CN" w:bidi="ar-SA"/>
        </w:rPr>
      </w:pPr>
      <w:r>
        <w:rPr>
          <w:rFonts w:hint="eastAsia" w:ascii="Times New Roman" w:hAnsi="Times New Roman" w:eastAsia="宋体" w:cs="Times New Roman"/>
          <w:b w:val="0"/>
          <w:bCs w:val="0"/>
          <w:kern w:val="2"/>
          <w:sz w:val="24"/>
          <w:szCs w:val="24"/>
          <w:lang w:val="en-US" w:eastAsia="zh-CN" w:bidi="ar-SA"/>
        </w:rPr>
        <w:t>交换机配置：光口≥12个万兆 SFP+，自适应电口≥12个10/100/1000Base-T</w:t>
      </w:r>
      <w:r>
        <w:rPr>
          <w:rFonts w:hint="default" w:ascii="Times New Roman" w:hAnsi="Times New Roman" w:eastAsia="宋体" w:cs="Times New Roman"/>
          <w:b w:val="0"/>
          <w:bCs w:val="0"/>
          <w:kern w:val="2"/>
          <w:sz w:val="24"/>
          <w:szCs w:val="24"/>
          <w:lang w:val="en-US" w:eastAsia="zh-CN" w:bidi="ar-SA"/>
        </w:rPr>
        <w:t>交换容量≥1.28Tbps/12.8Tbps，包转发率≥480Mpps；支持全端口线速转发；支持NAC统一管理、统一查看状态、VLAN、堆叠等配置管理；支持终端识别、终端准入、安全防护及安全画像可视；支持胖瘦一体化</w:t>
      </w:r>
      <w:r>
        <w:rPr>
          <w:rFonts w:hint="eastAsia" w:ascii="Times New Roman" w:hAnsi="Times New Roman" w:eastAsia="宋体" w:cs="Times New Roman"/>
          <w:b w:val="0"/>
          <w:bCs w:val="0"/>
          <w:kern w:val="2"/>
          <w:sz w:val="24"/>
          <w:szCs w:val="24"/>
          <w:lang w:val="en-US" w:eastAsia="zh-CN" w:bidi="ar-SA"/>
        </w:rPr>
        <w:t>。</w:t>
      </w:r>
    </w:p>
    <w:p>
      <w:pPr>
        <w:spacing w:line="312"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注：参数中标有</w:t>
      </w:r>
      <w:r>
        <w:rPr>
          <w:rFonts w:hint="eastAsia" w:asciiTheme="minorEastAsia" w:hAnsiTheme="minorEastAsia" w:eastAsiaTheme="minorEastAsia" w:cstheme="minorEastAsia"/>
          <w:sz w:val="24"/>
          <w:szCs w:val="24"/>
        </w:rPr>
        <w:t>★为必须满足项，投标人需对此逐一应答，如不满足既为废标。</w:t>
      </w:r>
    </w:p>
    <w:p>
      <w:pPr>
        <w:widowControl w:val="0"/>
        <w:adjustRightInd w:val="0"/>
        <w:snapToGrid w:val="0"/>
        <w:spacing w:line="360" w:lineRule="auto"/>
        <w:rPr>
          <w:rFonts w:hint="eastAsia" w:ascii="宋体" w:hAnsi="宋体" w:cs="宋体"/>
          <w:b/>
          <w:bCs/>
          <w:sz w:val="24"/>
          <w:szCs w:val="24"/>
        </w:rPr>
      </w:pPr>
    </w:p>
    <w:p>
      <w:pPr>
        <w:widowControl w:val="0"/>
        <w:adjustRightInd w:val="0"/>
        <w:snapToGrid w:val="0"/>
        <w:spacing w:line="360" w:lineRule="auto"/>
        <w:rPr>
          <w:rFonts w:ascii="宋体" w:hAnsi="宋体" w:cs="宋体"/>
          <w:b/>
          <w:bCs/>
          <w:sz w:val="24"/>
          <w:szCs w:val="24"/>
        </w:rPr>
      </w:pPr>
      <w:r>
        <w:rPr>
          <w:rFonts w:hint="eastAsia" w:ascii="宋体" w:hAnsi="宋体" w:cs="宋体"/>
          <w:b/>
          <w:bCs/>
          <w:sz w:val="24"/>
          <w:szCs w:val="24"/>
        </w:rPr>
        <w:t>4、售后服务及质保要求：</w:t>
      </w:r>
    </w:p>
    <w:p>
      <w:pPr>
        <w:adjustRightInd w:val="0"/>
        <w:snapToGrid w:val="0"/>
        <w:spacing w:line="312" w:lineRule="auto"/>
        <w:ind w:firstLine="240" w:firstLineChars="1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4.1.所供货物须提供至</w:t>
      </w:r>
      <w:r>
        <w:rPr>
          <w:rFonts w:hint="eastAsia" w:ascii="宋体" w:hAnsi="宋体"/>
          <w:color w:val="000000" w:themeColor="text1"/>
          <w:sz w:val="24"/>
          <w:szCs w:val="24"/>
          <w:highlight w:val="none"/>
          <w14:textFill>
            <w14:solidFill>
              <w14:schemeClr w14:val="tx1"/>
            </w14:solidFill>
          </w14:textFill>
        </w:rPr>
        <w:t>少三</w:t>
      </w:r>
      <w:r>
        <w:rPr>
          <w:rFonts w:hint="eastAsia" w:ascii="宋体" w:hAnsi="宋体"/>
          <w:b/>
          <w:bCs/>
          <w:color w:val="000000" w:themeColor="text1"/>
          <w:sz w:val="24"/>
          <w:szCs w:val="24"/>
          <w:highlight w:val="none"/>
          <w14:textFill>
            <w14:solidFill>
              <w14:schemeClr w14:val="tx1"/>
            </w14:solidFill>
          </w14:textFill>
        </w:rPr>
        <w:t>年</w:t>
      </w:r>
      <w:r>
        <w:rPr>
          <w:rFonts w:hint="eastAsia" w:ascii="宋体" w:hAnsi="宋体"/>
          <w:color w:val="000000" w:themeColor="text1"/>
          <w:sz w:val="24"/>
          <w:szCs w:val="24"/>
          <w:highlight w:val="none"/>
          <w14:textFill>
            <w14:solidFill>
              <w14:schemeClr w14:val="tx1"/>
            </w14:solidFill>
          </w14:textFill>
        </w:rPr>
        <w:t>免费质保期</w:t>
      </w:r>
      <w:r>
        <w:rPr>
          <w:rFonts w:hint="eastAsia" w:ascii="宋体" w:hAnsi="宋体"/>
          <w:color w:val="000000" w:themeColor="text1"/>
          <w:sz w:val="24"/>
          <w:szCs w:val="24"/>
          <w14:textFill>
            <w14:solidFill>
              <w14:schemeClr w14:val="tx1"/>
            </w14:solidFill>
          </w14:textFill>
        </w:rPr>
        <w:t>。</w:t>
      </w:r>
    </w:p>
    <w:p>
      <w:pPr>
        <w:adjustRightInd w:val="0"/>
        <w:snapToGrid w:val="0"/>
        <w:spacing w:line="312" w:lineRule="auto"/>
        <w:ind w:firstLine="240" w:firstLineChars="100"/>
        <w:rPr>
          <w:rFonts w:ascii="宋体" w:hAnsi="宋体"/>
          <w:sz w:val="24"/>
          <w:szCs w:val="24"/>
        </w:rPr>
      </w:pPr>
      <w:r>
        <w:rPr>
          <w:rFonts w:hint="eastAsia" w:ascii="宋体" w:hAnsi="宋体"/>
          <w:color w:val="000000" w:themeColor="text1"/>
          <w:sz w:val="24"/>
          <w:szCs w:val="24"/>
          <w14:textFill>
            <w14:solidFill>
              <w14:schemeClr w14:val="tx1"/>
            </w14:solidFill>
          </w14:textFill>
        </w:rPr>
        <w:t>4.2.质保期内产品在使用过程中出现产品质量问题时，供应商应及时进行维修或更换。</w:t>
      </w:r>
    </w:p>
    <w:p>
      <w:pPr>
        <w:widowControl w:val="0"/>
        <w:adjustRightInd w:val="0"/>
        <w:snapToGrid w:val="0"/>
        <w:spacing w:line="360" w:lineRule="auto"/>
        <w:rPr>
          <w:rFonts w:ascii="宋体" w:hAnsi="宋体" w:cs="宋体"/>
          <w:b/>
          <w:bCs/>
          <w:sz w:val="24"/>
          <w:szCs w:val="24"/>
        </w:rPr>
      </w:pPr>
      <w:r>
        <w:rPr>
          <w:rFonts w:hint="eastAsia" w:ascii="宋体" w:hAnsi="宋体" w:cs="宋体"/>
          <w:b/>
          <w:bCs/>
          <w:sz w:val="24"/>
          <w:szCs w:val="24"/>
        </w:rPr>
        <w:t>5、其他：</w:t>
      </w:r>
    </w:p>
    <w:p>
      <w:pPr>
        <w:spacing w:line="360" w:lineRule="auto"/>
        <w:ind w:firstLine="241" w:firstLineChars="100"/>
        <w:rPr>
          <w:rFonts w:ascii="宋体" w:hAnsi="宋体" w:cs="宋体"/>
          <w:sz w:val="24"/>
          <w:szCs w:val="24"/>
        </w:rPr>
      </w:pPr>
      <w:r>
        <w:rPr>
          <w:rFonts w:hint="eastAsia" w:ascii="宋体" w:hAnsi="宋体" w:cs="宋体"/>
          <w:b/>
          <w:bCs/>
          <w:sz w:val="24"/>
          <w:szCs w:val="24"/>
        </w:rPr>
        <w:t>5.1.</w:t>
      </w:r>
      <w:r>
        <w:rPr>
          <w:rFonts w:hint="eastAsia" w:ascii="宋体" w:hAnsi="宋体" w:cs="宋体"/>
          <w:sz w:val="24"/>
          <w:szCs w:val="24"/>
        </w:rPr>
        <w:t>交货期：合同签订后</w:t>
      </w:r>
      <w:r>
        <w:rPr>
          <w:rFonts w:hint="eastAsia" w:ascii="宋体" w:hAnsi="宋体" w:cs="宋体"/>
          <w:b/>
          <w:bCs/>
          <w:sz w:val="24"/>
          <w:szCs w:val="24"/>
        </w:rPr>
        <w:t>50个日历日</w:t>
      </w:r>
      <w:r>
        <w:rPr>
          <w:rFonts w:hint="eastAsia" w:ascii="宋体" w:hAnsi="宋体" w:cs="宋体"/>
          <w:sz w:val="24"/>
          <w:szCs w:val="24"/>
        </w:rPr>
        <w:t>内交货并完成安装调试。</w:t>
      </w:r>
    </w:p>
    <w:p>
      <w:pPr>
        <w:spacing w:line="360" w:lineRule="auto"/>
        <w:ind w:firstLine="241" w:firstLineChars="100"/>
        <w:rPr>
          <w:sz w:val="24"/>
          <w:szCs w:val="24"/>
        </w:rPr>
        <w:sectPr>
          <w:pgSz w:w="12240" w:h="15840"/>
          <w:pgMar w:top="881" w:right="1440" w:bottom="641" w:left="1800" w:header="0" w:footer="0" w:gutter="0"/>
          <w:cols w:space="720" w:num="1"/>
          <w:docGrid w:type="lines" w:linePitch="312" w:charSpace="0"/>
        </w:sectPr>
      </w:pPr>
      <w:r>
        <w:rPr>
          <w:rFonts w:hint="eastAsia" w:ascii="宋体" w:hAnsi="宋体" w:cs="宋体"/>
          <w:b/>
          <w:bCs/>
          <w:sz w:val="24"/>
          <w:szCs w:val="24"/>
        </w:rPr>
        <w:t>5.2.</w:t>
      </w:r>
      <w:r>
        <w:rPr>
          <w:rFonts w:hint="eastAsia" w:ascii="宋体" w:hAnsi="宋体" w:cs="宋体"/>
          <w:sz w:val="24"/>
          <w:szCs w:val="24"/>
        </w:rPr>
        <w:t>交货地点：服务器放置在岳阳市城陵矶新港有限公司机房。</w:t>
      </w:r>
    </w:p>
    <w:p>
      <w:pPr>
        <w:adjustRightInd w:val="0"/>
        <w:snapToGrid w:val="0"/>
        <w:spacing w:line="360" w:lineRule="auto"/>
        <w:jc w:val="center"/>
        <w:rPr>
          <w:rFonts w:ascii="黑体" w:hAnsi="黑体" w:eastAsia="黑体" w:cs="仿宋"/>
          <w:b/>
          <w:color w:val="000000"/>
          <w:sz w:val="36"/>
          <w:szCs w:val="36"/>
        </w:rPr>
      </w:pPr>
      <w:r>
        <w:rPr>
          <w:rFonts w:hint="eastAsia" w:ascii="黑体" w:hAnsi="黑体" w:eastAsia="黑体" w:cs="仿宋"/>
          <w:b/>
          <w:color w:val="000000"/>
          <w:sz w:val="36"/>
          <w:szCs w:val="36"/>
        </w:rPr>
        <w:t>第六章  响应文件格式</w:t>
      </w:r>
    </w:p>
    <w:p>
      <w:pPr>
        <w:spacing w:line="360" w:lineRule="auto"/>
        <w:jc w:val="center"/>
        <w:rPr>
          <w:rFonts w:ascii="仿宋" w:hAnsi="仿宋" w:eastAsia="仿宋" w:cs="仿宋"/>
          <w:sz w:val="30"/>
          <w:szCs w:val="30"/>
        </w:rPr>
      </w:pPr>
    </w:p>
    <w:p>
      <w:pPr>
        <w:spacing w:line="360" w:lineRule="auto"/>
        <w:jc w:val="center"/>
        <w:rPr>
          <w:rFonts w:ascii="仿宋" w:hAnsi="仿宋" w:eastAsia="仿宋" w:cs="仿宋"/>
          <w:sz w:val="30"/>
          <w:szCs w:val="30"/>
        </w:rPr>
      </w:pPr>
    </w:p>
    <w:p>
      <w:pPr>
        <w:spacing w:line="360" w:lineRule="auto"/>
        <w:jc w:val="center"/>
        <w:rPr>
          <w:rFonts w:ascii="仿宋" w:hAnsi="仿宋" w:eastAsia="仿宋" w:cs="仿宋"/>
          <w:sz w:val="30"/>
          <w:szCs w:val="30"/>
        </w:rPr>
      </w:pPr>
    </w:p>
    <w:p>
      <w:pPr>
        <w:spacing w:line="360" w:lineRule="auto"/>
        <w:jc w:val="center"/>
        <w:rPr>
          <w:rFonts w:eastAsia="方正小标宋_GBK"/>
          <w:b/>
          <w:bCs/>
          <w:sz w:val="40"/>
          <w:szCs w:val="36"/>
        </w:rPr>
      </w:pPr>
      <w:r>
        <w:rPr>
          <w:rFonts w:hint="eastAsia" w:eastAsia="方正小标宋_GBK"/>
          <w:bCs/>
          <w:sz w:val="48"/>
          <w:szCs w:val="44"/>
          <w:u w:val="single"/>
        </w:rPr>
        <w:t xml:space="preserve">       </w:t>
      </w:r>
      <w:r>
        <w:rPr>
          <w:rFonts w:eastAsia="方正小标宋_GBK"/>
          <w:bCs/>
          <w:sz w:val="48"/>
          <w:szCs w:val="44"/>
          <w:u w:val="single"/>
        </w:rPr>
        <w:t xml:space="preserve">            </w:t>
      </w:r>
      <w:r>
        <w:rPr>
          <w:rFonts w:hint="eastAsia" w:eastAsia="方正小标宋_GBK"/>
          <w:b/>
          <w:bCs/>
          <w:sz w:val="40"/>
          <w:szCs w:val="36"/>
        </w:rPr>
        <w:t>项目</w:t>
      </w:r>
    </w:p>
    <w:p>
      <w:pPr>
        <w:widowControl w:val="0"/>
        <w:spacing w:before="240" w:beforeLines="100" w:after="240" w:afterLines="100" w:line="360" w:lineRule="auto"/>
        <w:jc w:val="center"/>
        <w:rPr>
          <w:rFonts w:eastAsia="楷体_GB2312"/>
          <w:b/>
          <w:bCs/>
          <w:sz w:val="28"/>
          <w:szCs w:val="28"/>
        </w:rPr>
      </w:pPr>
      <w:r>
        <w:rPr>
          <w:rFonts w:eastAsia="楷体_GB2312"/>
          <w:b/>
          <w:bCs/>
          <w:sz w:val="28"/>
          <w:szCs w:val="28"/>
        </w:rPr>
        <w:t>（项目</w:t>
      </w:r>
      <w:r>
        <w:rPr>
          <w:rFonts w:hint="eastAsia" w:eastAsia="楷体_GB2312"/>
          <w:b/>
          <w:bCs/>
          <w:sz w:val="28"/>
          <w:szCs w:val="28"/>
        </w:rPr>
        <w:t>采购</w:t>
      </w:r>
      <w:r>
        <w:rPr>
          <w:rFonts w:eastAsia="楷体_GB2312"/>
          <w:b/>
          <w:bCs/>
          <w:sz w:val="28"/>
          <w:szCs w:val="28"/>
        </w:rPr>
        <w:t>编号：</w:t>
      </w:r>
      <w:r>
        <w:rPr>
          <w:rFonts w:eastAsia="楷体_GB2312"/>
          <w:b/>
          <w:bCs/>
          <w:sz w:val="28"/>
          <w:szCs w:val="28"/>
          <w:u w:val="single"/>
        </w:rPr>
        <w:t xml:space="preserve">   </w:t>
      </w:r>
      <w:r>
        <w:rPr>
          <w:rFonts w:hint="eastAsia" w:eastAsia="楷体_GB2312"/>
          <w:b/>
          <w:bCs/>
          <w:sz w:val="28"/>
          <w:szCs w:val="28"/>
          <w:u w:val="single"/>
        </w:rPr>
        <w:t>填入项目采购编号</w:t>
      </w:r>
      <w:r>
        <w:rPr>
          <w:rFonts w:eastAsia="楷体_GB2312"/>
          <w:b/>
          <w:bCs/>
          <w:sz w:val="28"/>
          <w:szCs w:val="28"/>
          <w:u w:val="single"/>
        </w:rPr>
        <w:t xml:space="preserve">     </w:t>
      </w:r>
      <w:r>
        <w:rPr>
          <w:rFonts w:eastAsia="楷体_GB2312"/>
          <w:b/>
          <w:bCs/>
          <w:sz w:val="28"/>
          <w:szCs w:val="28"/>
        </w:rPr>
        <w:t>）</w:t>
      </w:r>
    </w:p>
    <w:p>
      <w:pPr>
        <w:widowControl w:val="0"/>
        <w:adjustRightInd w:val="0"/>
        <w:snapToGrid w:val="0"/>
        <w:spacing w:line="360" w:lineRule="auto"/>
        <w:rPr>
          <w:b/>
        </w:rPr>
      </w:pPr>
    </w:p>
    <w:p>
      <w:pPr>
        <w:spacing w:line="360" w:lineRule="auto"/>
        <w:jc w:val="both"/>
        <w:rPr>
          <w:rFonts w:eastAsia="方正小标宋_GBK"/>
          <w:b/>
          <w:bCs/>
          <w:spacing w:val="160"/>
          <w:sz w:val="72"/>
          <w:szCs w:val="72"/>
        </w:rPr>
      </w:pPr>
    </w:p>
    <w:p>
      <w:pPr>
        <w:spacing w:line="360" w:lineRule="auto"/>
        <w:jc w:val="center"/>
        <w:rPr>
          <w:rFonts w:eastAsia="方正小标宋_GBK"/>
          <w:b/>
          <w:bCs/>
          <w:spacing w:val="160"/>
          <w:sz w:val="72"/>
          <w:szCs w:val="72"/>
        </w:rPr>
      </w:pPr>
    </w:p>
    <w:p>
      <w:pPr>
        <w:spacing w:line="360" w:lineRule="auto"/>
        <w:jc w:val="center"/>
        <w:rPr>
          <w:sz w:val="26"/>
          <w:szCs w:val="26"/>
        </w:rPr>
      </w:pPr>
      <w:r>
        <w:rPr>
          <w:rFonts w:hint="eastAsia" w:eastAsia="方正小标宋_GBK"/>
          <w:b/>
          <w:bCs/>
          <w:spacing w:val="160"/>
          <w:sz w:val="72"/>
          <w:szCs w:val="72"/>
        </w:rPr>
        <w:t>响应</w:t>
      </w:r>
      <w:r>
        <w:rPr>
          <w:rFonts w:eastAsia="方正小标宋_GBK"/>
          <w:b/>
          <w:bCs/>
          <w:spacing w:val="160"/>
          <w:sz w:val="72"/>
          <w:szCs w:val="72"/>
        </w:rPr>
        <w:t>文件</w:t>
      </w:r>
    </w:p>
    <w:p>
      <w:pPr>
        <w:spacing w:line="360" w:lineRule="auto"/>
        <w:rPr>
          <w:sz w:val="26"/>
          <w:szCs w:val="26"/>
        </w:rPr>
      </w:pPr>
    </w:p>
    <w:p>
      <w:pPr>
        <w:spacing w:line="360" w:lineRule="auto"/>
        <w:rPr>
          <w:sz w:val="26"/>
          <w:szCs w:val="26"/>
        </w:rPr>
      </w:pPr>
    </w:p>
    <w:p>
      <w:pPr>
        <w:spacing w:line="360" w:lineRule="auto"/>
        <w:rPr>
          <w:sz w:val="26"/>
          <w:szCs w:val="26"/>
        </w:rPr>
      </w:pPr>
    </w:p>
    <w:p>
      <w:pPr>
        <w:spacing w:line="360" w:lineRule="auto"/>
        <w:rPr>
          <w:sz w:val="26"/>
          <w:szCs w:val="26"/>
        </w:rPr>
      </w:pPr>
    </w:p>
    <w:p>
      <w:pPr>
        <w:spacing w:line="360" w:lineRule="auto"/>
        <w:rPr>
          <w:sz w:val="26"/>
          <w:szCs w:val="26"/>
        </w:rPr>
      </w:pPr>
    </w:p>
    <w:p>
      <w:pPr>
        <w:spacing w:line="360" w:lineRule="auto"/>
        <w:rPr>
          <w:sz w:val="26"/>
          <w:szCs w:val="26"/>
        </w:rPr>
      </w:pPr>
    </w:p>
    <w:p>
      <w:pPr>
        <w:spacing w:line="360" w:lineRule="auto"/>
        <w:jc w:val="center"/>
        <w:rPr>
          <w:rFonts w:eastAsia="黑体"/>
          <w:bCs/>
          <w:sz w:val="30"/>
          <w:szCs w:val="30"/>
        </w:rPr>
      </w:pPr>
      <w:r>
        <w:rPr>
          <w:rFonts w:hint="eastAsia" w:eastAsia="黑体"/>
          <w:bCs/>
          <w:sz w:val="30"/>
          <w:szCs w:val="30"/>
        </w:rPr>
        <w:t>供 应 商</w:t>
      </w:r>
      <w:r>
        <w:rPr>
          <w:rFonts w:eastAsia="黑体"/>
          <w:bCs/>
          <w:sz w:val="30"/>
          <w:szCs w:val="30"/>
        </w:rPr>
        <w:t>：</w:t>
      </w:r>
      <w:r>
        <w:rPr>
          <w:rFonts w:eastAsia="黑体"/>
          <w:bCs/>
          <w:sz w:val="30"/>
          <w:szCs w:val="30"/>
          <w:u w:val="single"/>
        </w:rPr>
        <w:t xml:space="preserve">  </w:t>
      </w:r>
      <w:r>
        <w:rPr>
          <w:rFonts w:hint="eastAsia" w:eastAsia="黑体"/>
          <w:bCs/>
          <w:sz w:val="30"/>
          <w:szCs w:val="30"/>
          <w:u w:val="single"/>
        </w:rPr>
        <w:t>供应商</w:t>
      </w:r>
      <w:r>
        <w:rPr>
          <w:rFonts w:eastAsia="黑体"/>
          <w:bCs/>
          <w:sz w:val="30"/>
          <w:szCs w:val="30"/>
          <w:u w:val="single"/>
        </w:rPr>
        <w:t xml:space="preserve">全称并盖单位公章 </w:t>
      </w:r>
    </w:p>
    <w:p>
      <w:pPr>
        <w:spacing w:line="360" w:lineRule="auto"/>
        <w:jc w:val="center"/>
        <w:rPr>
          <w:rFonts w:eastAsia="黑体"/>
          <w:sz w:val="30"/>
          <w:szCs w:val="30"/>
        </w:rPr>
      </w:pPr>
      <w:r>
        <w:rPr>
          <w:rFonts w:eastAsia="黑体"/>
          <w:sz w:val="30"/>
          <w:szCs w:val="30"/>
        </w:rPr>
        <w:t>日</w:t>
      </w:r>
      <w:r>
        <w:rPr>
          <w:rFonts w:hint="eastAsia" w:eastAsia="黑体"/>
          <w:sz w:val="30"/>
          <w:szCs w:val="30"/>
        </w:rPr>
        <w:t xml:space="preserve">   </w:t>
      </w:r>
      <w:r>
        <w:rPr>
          <w:rFonts w:eastAsia="黑体"/>
          <w:sz w:val="30"/>
          <w:szCs w:val="30"/>
        </w:rPr>
        <w:t>期：</w:t>
      </w:r>
      <w:r>
        <w:rPr>
          <w:rFonts w:eastAsia="黑体"/>
          <w:sz w:val="30"/>
          <w:szCs w:val="30"/>
          <w:u w:val="single"/>
        </w:rPr>
        <w:t xml:space="preserve">      </w:t>
      </w:r>
      <w:r>
        <w:rPr>
          <w:rFonts w:eastAsia="黑体"/>
          <w:sz w:val="30"/>
          <w:szCs w:val="30"/>
        </w:rPr>
        <w:t>年</w:t>
      </w:r>
      <w:r>
        <w:rPr>
          <w:rFonts w:eastAsia="黑体"/>
          <w:sz w:val="30"/>
          <w:szCs w:val="30"/>
          <w:u w:val="single"/>
        </w:rPr>
        <w:t xml:space="preserve">    </w:t>
      </w:r>
      <w:r>
        <w:rPr>
          <w:rFonts w:eastAsia="黑体"/>
          <w:sz w:val="30"/>
          <w:szCs w:val="30"/>
        </w:rPr>
        <w:t>月</w:t>
      </w:r>
      <w:r>
        <w:rPr>
          <w:rFonts w:eastAsia="黑体"/>
          <w:sz w:val="30"/>
          <w:szCs w:val="30"/>
          <w:u w:val="single"/>
        </w:rPr>
        <w:t xml:space="preserve">    </w:t>
      </w:r>
      <w:r>
        <w:rPr>
          <w:rFonts w:eastAsia="黑体"/>
          <w:sz w:val="30"/>
          <w:szCs w:val="30"/>
        </w:rPr>
        <w:t>日</w:t>
      </w:r>
    </w:p>
    <w:p>
      <w:pPr>
        <w:adjustRightInd w:val="0"/>
        <w:snapToGrid w:val="0"/>
        <w:spacing w:line="360" w:lineRule="auto"/>
        <w:jc w:val="center"/>
        <w:rPr>
          <w:rFonts w:ascii="黑体" w:hAnsi="黑体" w:eastAsia="黑体" w:cs="仿宋"/>
          <w:sz w:val="36"/>
          <w:szCs w:val="36"/>
        </w:rPr>
      </w:pPr>
      <w:r>
        <w:rPr>
          <w:rFonts w:hint="eastAsia" w:ascii="黑体" w:hAnsi="黑体" w:eastAsia="黑体" w:cs="仿宋"/>
          <w:sz w:val="36"/>
          <w:szCs w:val="36"/>
        </w:rPr>
        <w:t xml:space="preserve">目 </w:t>
      </w:r>
      <w:r>
        <w:rPr>
          <w:rFonts w:ascii="黑体" w:hAnsi="黑体" w:eastAsia="黑体" w:cs="仿宋"/>
          <w:sz w:val="36"/>
          <w:szCs w:val="36"/>
        </w:rPr>
        <w:t xml:space="preserve"> </w:t>
      </w:r>
      <w:r>
        <w:rPr>
          <w:rFonts w:hint="eastAsia" w:ascii="黑体" w:hAnsi="黑体" w:eastAsia="黑体" w:cs="仿宋"/>
          <w:sz w:val="36"/>
          <w:szCs w:val="36"/>
        </w:rPr>
        <w:t>录</w:t>
      </w:r>
    </w:p>
    <w:p>
      <w:pPr>
        <w:adjustRightInd w:val="0"/>
        <w:snapToGrid w:val="0"/>
        <w:spacing w:line="360" w:lineRule="auto"/>
        <w:jc w:val="both"/>
        <w:rPr>
          <w:rFonts w:ascii="宋体" w:hAnsi="宋体" w:cs="仿宋"/>
          <w:sz w:val="36"/>
          <w:szCs w:val="36"/>
        </w:rPr>
      </w:pPr>
    </w:p>
    <w:p>
      <w:pPr>
        <w:adjustRightInd w:val="0"/>
        <w:snapToGrid w:val="0"/>
        <w:spacing w:line="360" w:lineRule="auto"/>
        <w:rPr>
          <w:rFonts w:ascii="宋体" w:hAnsi="宋体" w:cs="仿宋"/>
          <w:sz w:val="24"/>
        </w:rPr>
      </w:pPr>
      <w:r>
        <w:rPr>
          <w:rFonts w:hint="eastAsia" w:ascii="宋体" w:hAnsi="宋体" w:cs="仿宋"/>
          <w:sz w:val="24"/>
        </w:rPr>
        <w:t>一、响应函</w:t>
      </w:r>
      <w:r>
        <w:rPr>
          <w:rFonts w:hint="eastAsia" w:ascii="宋体" w:hAnsi="宋体" w:cs="仿宋"/>
          <w:sz w:val="24"/>
        </w:rPr>
        <w:br w:type="textWrapping"/>
      </w:r>
      <w:r>
        <w:rPr>
          <w:rFonts w:hint="eastAsia" w:ascii="宋体" w:hAnsi="宋体" w:cs="仿宋"/>
          <w:sz w:val="24"/>
        </w:rPr>
        <w:t>二、授权委托书(适用于有委托代理人的情况)</w:t>
      </w:r>
      <w:r>
        <w:rPr>
          <w:rFonts w:hint="eastAsia" w:ascii="宋体" w:hAnsi="宋体" w:cs="仿宋"/>
          <w:sz w:val="24"/>
        </w:rPr>
        <w:br w:type="textWrapping"/>
      </w:r>
      <w:r>
        <w:rPr>
          <w:rFonts w:hint="eastAsia" w:ascii="宋体" w:hAnsi="宋体" w:cs="仿宋"/>
          <w:sz w:val="24"/>
        </w:rPr>
        <w:t>三、商务和技术偏差表</w:t>
      </w:r>
      <w:r>
        <w:rPr>
          <w:rFonts w:hint="eastAsia" w:ascii="宋体" w:hAnsi="宋体" w:cs="仿宋"/>
          <w:sz w:val="24"/>
        </w:rPr>
        <w:br w:type="textWrapping"/>
      </w:r>
      <w:r>
        <w:rPr>
          <w:rFonts w:hint="eastAsia" w:ascii="宋体" w:hAnsi="宋体" w:cs="仿宋"/>
          <w:sz w:val="24"/>
        </w:rPr>
        <w:t>四、报价表</w:t>
      </w:r>
      <w:r>
        <w:rPr>
          <w:rFonts w:hint="eastAsia" w:ascii="宋体" w:hAnsi="宋体" w:cs="仿宋"/>
          <w:sz w:val="24"/>
        </w:rPr>
        <w:br w:type="textWrapping"/>
      </w:r>
      <w:r>
        <w:rPr>
          <w:rFonts w:hint="eastAsia" w:ascii="宋体" w:hAnsi="宋体" w:cs="仿宋"/>
          <w:sz w:val="24"/>
        </w:rPr>
        <w:t>五、资格审查资料</w:t>
      </w:r>
      <w:r>
        <w:rPr>
          <w:rFonts w:hint="eastAsia" w:ascii="宋体" w:hAnsi="宋体" w:cs="仿宋"/>
          <w:sz w:val="24"/>
        </w:rPr>
        <w:br w:type="textWrapping"/>
      </w:r>
      <w:r>
        <w:rPr>
          <w:rFonts w:hint="eastAsia" w:ascii="宋体" w:hAnsi="宋体" w:cs="仿宋"/>
          <w:sz w:val="24"/>
        </w:rPr>
        <w:t>六、响应方案</w:t>
      </w:r>
      <w:r>
        <w:rPr>
          <w:rFonts w:hint="eastAsia" w:ascii="宋体" w:hAnsi="宋体" w:cs="仿宋"/>
          <w:sz w:val="24"/>
        </w:rPr>
        <w:br w:type="textWrapping"/>
      </w:r>
      <w:r>
        <w:rPr>
          <w:rFonts w:hint="eastAsia" w:ascii="宋体" w:hAnsi="宋体" w:cs="仿宋"/>
          <w:sz w:val="24"/>
        </w:rPr>
        <w:t>七、其他资料</w:t>
      </w:r>
    </w:p>
    <w:p>
      <w:pPr>
        <w:spacing w:line="360" w:lineRule="auto"/>
        <w:jc w:val="both"/>
        <w:rPr>
          <w:rFonts w:ascii="仿宋" w:hAnsi="仿宋" w:eastAsia="仿宋" w:cs="仿宋"/>
          <w:sz w:val="30"/>
          <w:szCs w:val="30"/>
        </w:rPr>
      </w:pPr>
      <w:r>
        <w:rPr>
          <w:rFonts w:hint="eastAsia" w:ascii="仿宋" w:hAnsi="仿宋" w:eastAsia="仿宋" w:cs="仿宋"/>
          <w:sz w:val="30"/>
          <w:szCs w:val="30"/>
        </w:rPr>
        <w:br w:type="page"/>
      </w:r>
    </w:p>
    <w:p>
      <w:pPr>
        <w:numPr>
          <w:ilvl w:val="0"/>
          <w:numId w:val="5"/>
        </w:numPr>
        <w:adjustRightInd w:val="0"/>
        <w:snapToGrid w:val="0"/>
        <w:spacing w:line="360" w:lineRule="auto"/>
        <w:jc w:val="center"/>
        <w:rPr>
          <w:rFonts w:ascii="黑体" w:hAnsi="黑体" w:eastAsia="黑体" w:cs="仿宋"/>
          <w:sz w:val="36"/>
          <w:szCs w:val="36"/>
        </w:rPr>
      </w:pPr>
      <w:r>
        <w:rPr>
          <w:rFonts w:hint="eastAsia" w:ascii="黑体" w:hAnsi="黑体" w:eastAsia="黑体" w:cs="仿宋"/>
          <w:sz w:val="36"/>
          <w:szCs w:val="36"/>
        </w:rPr>
        <w:t>响应函</w:t>
      </w:r>
    </w:p>
    <w:p>
      <w:pPr>
        <w:adjustRightInd w:val="0"/>
        <w:snapToGrid w:val="0"/>
        <w:spacing w:line="360" w:lineRule="auto"/>
        <w:jc w:val="both"/>
        <w:rPr>
          <w:rFonts w:cs="仿宋" w:asciiTheme="minorEastAsia" w:hAnsiTheme="minorEastAsia" w:eastAsiaTheme="minorEastAsia"/>
          <w:sz w:val="24"/>
        </w:rPr>
      </w:pP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(采购人名称):</w:t>
      </w:r>
    </w:p>
    <w:p>
      <w:pPr>
        <w:adjustRightInd w:val="0"/>
        <w:snapToGrid w:val="0"/>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1.我方已仔细研究了__(项目名称)采购文件的全部内容，愿意以含税价人民币(大写)(￥</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)的报价（其中：不含税价为:</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;增值税税额为:</w:t>
      </w:r>
      <w:r>
        <w:rPr>
          <w:rFonts w:hint="eastAsia" w:cs="仿宋" w:asciiTheme="minorEastAsia" w:hAnsiTheme="minorEastAsia" w:eastAsiaTheme="minorEastAsia"/>
          <w:sz w:val="24"/>
          <w:u w:val="single"/>
        </w:rPr>
        <w:t xml:space="preserve">            ，税率为：              </w:t>
      </w:r>
      <w:r>
        <w:rPr>
          <w:rFonts w:hint="eastAsia" w:cs="仿宋" w:asciiTheme="minorEastAsia" w:hAnsiTheme="minorEastAsia" w:eastAsiaTheme="minorEastAsia"/>
          <w:sz w:val="24"/>
        </w:rPr>
        <w:t>)提供本项目货物，并按合同约定履行义务。</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2.我方的响应文件包括下列内容:</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(1)响应函;</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(2)授权委托书(如有);</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(3)商务和技术偏差表;</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(4)报价表;</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(5)资格审查资料;</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(6)响应方案;</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(7)其他资料;</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响应文件的上述组成部分如存在内容不一致的，以响应函为准。</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3.我方承诺除商务和技术偏差表列出的偏差外，我方响应采购文件的全部要求。</w:t>
      </w:r>
    </w:p>
    <w:p>
      <w:pPr>
        <w:numPr>
          <w:ilvl w:val="0"/>
          <w:numId w:val="6"/>
        </w:num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我方承诺在采购文件规定的响应文件有效期90天内不撤销响应文件。</w:t>
      </w:r>
    </w:p>
    <w:p>
      <w:pPr>
        <w:numPr>
          <w:ilvl w:val="0"/>
          <w:numId w:val="6"/>
        </w:num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如我方成交，我方承诺:</w:t>
      </w:r>
    </w:p>
    <w:p>
      <w:pPr>
        <w:tabs>
          <w:tab w:val="left" w:pos="312"/>
        </w:tabs>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(1)在收到成交通知书后，在成交通知书规定的期限内与你方签订合同;</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(2)在签订合同时不向你方提出附加条件;</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(3)在合同约定的期限内完成合同规定的全部义务。</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6.我方在此声明，所递交的响应文件及有关资料内容完整、真实和准确，</w:t>
      </w:r>
      <w:r>
        <w:rPr>
          <w:rFonts w:hint="eastAsia" w:cs="仿宋" w:asciiTheme="minorEastAsia" w:hAnsiTheme="minorEastAsia" w:eastAsiaTheme="minorEastAsia"/>
          <w:b/>
          <w:bCs/>
          <w:sz w:val="24"/>
        </w:rPr>
        <w:t>且无任何第一章“采购公告”中规定的供应商不得存在的情形。</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7.(其他补充说明)。</w:t>
      </w:r>
    </w:p>
    <w:p>
      <w:pPr>
        <w:adjustRightInd w:val="0"/>
        <w:snapToGrid w:val="0"/>
        <w:spacing w:line="360" w:lineRule="auto"/>
        <w:jc w:val="both"/>
        <w:rPr>
          <w:rFonts w:cs="仿宋" w:asciiTheme="minorEastAsia" w:hAnsiTheme="minorEastAsia" w:eastAsiaTheme="minorEastAsia"/>
          <w:sz w:val="24"/>
        </w:rPr>
      </w:pP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供应商:________________________(盖单位章)</w:t>
      </w:r>
    </w:p>
    <w:p>
      <w:pPr>
        <w:adjustRightInd w:val="0"/>
        <w:snapToGrid w:val="0"/>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法定代表人(单位负责人)或其授权的代理人:(签字) </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地址:____________________________________________</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电子邮箱：_______________________________________</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电话：____________________________________________</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传真：____________________________________________</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邮政编码：_______________________________________</w:t>
      </w:r>
    </w:p>
    <w:p>
      <w:pPr>
        <w:spacing w:line="360" w:lineRule="auto"/>
        <w:jc w:val="both"/>
        <w:rPr>
          <w:rFonts w:cs="仿宋" w:asciiTheme="minorEastAsia" w:hAnsiTheme="minorEastAsia" w:eastAsiaTheme="minorEastAsia"/>
          <w:sz w:val="24"/>
        </w:rPr>
      </w:pPr>
    </w:p>
    <w:p>
      <w:pPr>
        <w:spacing w:line="360" w:lineRule="auto"/>
        <w:ind w:firstLine="7200" w:firstLineChars="3000"/>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年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 xml:space="preserve">月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spacing w:line="360" w:lineRule="auto"/>
        <w:jc w:val="both"/>
        <w:rPr>
          <w:rFonts w:cs="仿宋" w:asciiTheme="minorEastAsia" w:hAnsiTheme="minorEastAsia" w:eastAsiaTheme="minorEastAsia"/>
          <w:sz w:val="24"/>
        </w:rPr>
      </w:pPr>
      <w:r>
        <w:rPr>
          <w:rFonts w:cs="仿宋" w:asciiTheme="minorEastAsia" w:hAnsiTheme="minorEastAsia" w:eastAsiaTheme="minorEastAsia"/>
          <w:sz w:val="24"/>
        </w:rPr>
        <w:br w:type="page"/>
      </w:r>
    </w:p>
    <w:p>
      <w:pPr>
        <w:spacing w:line="360" w:lineRule="auto"/>
        <w:jc w:val="center"/>
        <w:rPr>
          <w:rFonts w:cs="宋体" w:asciiTheme="minorEastAsia" w:hAnsiTheme="minorEastAsia" w:eastAsiaTheme="minorEastAsia"/>
          <w:b/>
          <w:color w:val="000000"/>
          <w:kern w:val="0"/>
          <w:sz w:val="36"/>
          <w:szCs w:val="36"/>
        </w:rPr>
      </w:pPr>
      <w:r>
        <w:rPr>
          <w:rFonts w:hint="eastAsia" w:cs="宋体" w:asciiTheme="minorEastAsia" w:hAnsiTheme="minorEastAsia" w:eastAsiaTheme="minorEastAsia"/>
          <w:b/>
          <w:color w:val="000000"/>
          <w:kern w:val="0"/>
          <w:sz w:val="36"/>
          <w:szCs w:val="36"/>
        </w:rPr>
        <w:t>附：守法诚信承诺书</w:t>
      </w:r>
    </w:p>
    <w:p>
      <w:pPr>
        <w:spacing w:line="360" w:lineRule="auto"/>
        <w:ind w:firstLine="480" w:firstLineChars="200"/>
        <w:jc w:val="both"/>
        <w:rPr>
          <w:rFonts w:asciiTheme="minorEastAsia" w:hAnsiTheme="minorEastAsia" w:eastAsiaTheme="minorEastAsia"/>
          <w:color w:val="000000"/>
          <w:sz w:val="24"/>
        </w:rPr>
      </w:pP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××公司：</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为维护社会的公平正义，我司郑重承诺，与贵公司不存在有可能影响采购公正的利害关系。</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1、我司已仔细阅读《××单位××文件》</w:t>
      </w:r>
      <w:r>
        <w:rPr>
          <w:rFonts w:cs="仿宋" w:asciiTheme="minorEastAsia" w:hAnsiTheme="minorEastAsia" w:eastAsiaTheme="minorEastAsia"/>
          <w:sz w:val="24"/>
        </w:rPr>
        <w:t>（编号</w:t>
      </w:r>
      <w:r>
        <w:rPr>
          <w:rFonts w:hint="eastAsia" w:cs="仿宋" w:asciiTheme="minorEastAsia" w:hAnsiTheme="minorEastAsia" w:eastAsiaTheme="minorEastAsia"/>
          <w:sz w:val="24"/>
        </w:rPr>
        <w:t>×</w:t>
      </w:r>
      <w:r>
        <w:rPr>
          <w:rFonts w:cs="仿宋" w:asciiTheme="minorEastAsia" w:hAnsiTheme="minorEastAsia" w:eastAsiaTheme="minorEastAsia"/>
          <w:sz w:val="24"/>
        </w:rPr>
        <w:t>×）</w:t>
      </w:r>
      <w:r>
        <w:rPr>
          <w:rFonts w:hint="eastAsia" w:cs="仿宋" w:asciiTheme="minorEastAsia" w:hAnsiTheme="minorEastAsia" w:eastAsiaTheme="minorEastAsia"/>
          <w:sz w:val="24"/>
        </w:rPr>
        <w:t>（以下</w:t>
      </w:r>
      <w:r>
        <w:rPr>
          <w:rFonts w:cs="仿宋" w:asciiTheme="minorEastAsia" w:hAnsiTheme="minorEastAsia" w:eastAsiaTheme="minorEastAsia"/>
          <w:sz w:val="24"/>
        </w:rPr>
        <w:t>简称</w:t>
      </w:r>
      <w:r>
        <w:rPr>
          <w:rFonts w:hint="eastAsia" w:cs="仿宋" w:asciiTheme="minorEastAsia" w:hAnsiTheme="minorEastAsia" w:eastAsiaTheme="minorEastAsia"/>
          <w:sz w:val="24"/>
        </w:rPr>
        <w:t>采购</w:t>
      </w:r>
      <w:r>
        <w:rPr>
          <w:rFonts w:cs="仿宋" w:asciiTheme="minorEastAsia" w:hAnsiTheme="minorEastAsia" w:eastAsiaTheme="minorEastAsia"/>
          <w:sz w:val="24"/>
        </w:rPr>
        <w:t>文件）</w:t>
      </w:r>
      <w:r>
        <w:rPr>
          <w:rFonts w:hint="eastAsia" w:cs="仿宋" w:asciiTheme="minorEastAsia" w:hAnsiTheme="minorEastAsia" w:eastAsiaTheme="minorEastAsia"/>
          <w:sz w:val="24"/>
        </w:rPr>
        <w:t>，包括采</w:t>
      </w:r>
      <w:r>
        <w:rPr>
          <w:rFonts w:cs="仿宋" w:asciiTheme="minorEastAsia" w:hAnsiTheme="minorEastAsia" w:eastAsiaTheme="minorEastAsia"/>
          <w:sz w:val="24"/>
        </w:rPr>
        <w:t>购</w:t>
      </w:r>
      <w:r>
        <w:rPr>
          <w:rFonts w:hint="eastAsia" w:cs="仿宋" w:asciiTheme="minorEastAsia" w:hAnsiTheme="minorEastAsia" w:eastAsiaTheme="minorEastAsia"/>
          <w:sz w:val="24"/>
        </w:rPr>
        <w:t>文件的澄清或修改说明</w:t>
      </w:r>
      <w:r>
        <w:rPr>
          <w:rFonts w:cs="仿宋" w:asciiTheme="minorEastAsia" w:hAnsiTheme="minorEastAsia" w:eastAsiaTheme="minorEastAsia"/>
          <w:sz w:val="24"/>
        </w:rPr>
        <w:t>，</w:t>
      </w:r>
      <w:r>
        <w:rPr>
          <w:rFonts w:hint="eastAsia" w:cs="仿宋" w:asciiTheme="minorEastAsia" w:hAnsiTheme="minorEastAsia" w:eastAsiaTheme="minorEastAsia"/>
          <w:sz w:val="24"/>
        </w:rPr>
        <w:t>完全支持并响应，不存在误解或不明。</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2、遵纪守法，不触底线，公平公正参与竞争。我司提供的《响应文件》及其资料真实合法有效。</w:t>
      </w:r>
      <w:r>
        <w:rPr>
          <w:rFonts w:cs="仿宋" w:asciiTheme="minorEastAsia" w:hAnsiTheme="minorEastAsia" w:eastAsiaTheme="minorEastAsia"/>
          <w:sz w:val="24"/>
        </w:rPr>
        <w:t xml:space="preserve"> </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3、响应期间没有因质量或</w:t>
      </w:r>
      <w:r>
        <w:rPr>
          <w:rFonts w:cs="仿宋" w:asciiTheme="minorEastAsia" w:hAnsiTheme="minorEastAsia" w:eastAsiaTheme="minorEastAsia"/>
          <w:sz w:val="24"/>
        </w:rPr>
        <w:t>服务</w:t>
      </w:r>
      <w:r>
        <w:rPr>
          <w:rFonts w:hint="eastAsia" w:cs="仿宋" w:asciiTheme="minorEastAsia" w:hAnsiTheme="minorEastAsia" w:eastAsiaTheme="minorEastAsia"/>
          <w:sz w:val="24"/>
        </w:rPr>
        <w:t>问题被采购人或采购人上级</w:t>
      </w:r>
      <w:r>
        <w:rPr>
          <w:rFonts w:cs="仿宋" w:asciiTheme="minorEastAsia" w:hAnsiTheme="minorEastAsia" w:eastAsiaTheme="minorEastAsia"/>
          <w:sz w:val="24"/>
        </w:rPr>
        <w:t>机构</w:t>
      </w:r>
      <w:r>
        <w:rPr>
          <w:rFonts w:hint="eastAsia" w:cs="仿宋" w:asciiTheme="minorEastAsia" w:hAnsiTheme="minorEastAsia" w:eastAsiaTheme="minorEastAsia"/>
          <w:sz w:val="24"/>
        </w:rPr>
        <w:t>通报且在整改期内。</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4、响应单位法定代表人为同一个人或者存在控股关系，管理关系的不同单位，没有在本项目中同时报价。</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5、无联合体另外报价。</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6、单位、法定代表人（单位负责人）、委托代理人（授权代表）无暂停或取消投标资格、骗取中标、行贿等不良记录以及其他违法犯罪记录；无围标串标、恶意投诉、买卖资质等违法违规行为。</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7</w:t>
      </w:r>
      <w:r>
        <w:rPr>
          <w:rFonts w:hint="eastAsia" w:cs="仿宋" w:asciiTheme="minorEastAsia" w:hAnsiTheme="minorEastAsia" w:eastAsiaTheme="minorEastAsia"/>
          <w:sz w:val="24"/>
        </w:rPr>
        <w:t>、诚实守信，优质高效履行合同。一旦中选，我司将严格遵守采购文件的约定，不附加条件,及时商谈、签约、履约。</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8</w:t>
      </w:r>
      <w:r>
        <w:rPr>
          <w:rFonts w:hint="eastAsia" w:cs="仿宋" w:asciiTheme="minorEastAsia" w:hAnsiTheme="minorEastAsia" w:eastAsiaTheme="minorEastAsia"/>
          <w:sz w:val="24"/>
        </w:rPr>
        <w:t>、自我管理，知行合一，主动承担社会责任。坚持“五大发展理念”，始终为用户着想，维护同业形象，自觉接受监管，维护和谐稳定。</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9</w:t>
      </w:r>
      <w:r>
        <w:rPr>
          <w:rFonts w:hint="eastAsia" w:cs="仿宋" w:asciiTheme="minorEastAsia" w:hAnsiTheme="minorEastAsia" w:eastAsiaTheme="minorEastAsia"/>
          <w:sz w:val="24"/>
        </w:rPr>
        <w:t>、如发现我司有违上述条款，任何时候我司都愿意承担相应的法律责任，自愿放弃成交资格，接受任何处罚，并承担没收履约保证金或按合同违约责任的顶格处罚；贵公司可单方终止合同并且有权通过媒体公开上述行为，拒绝我司参加贵公司今后任何采购活动。</w:t>
      </w:r>
    </w:p>
    <w:p>
      <w:pPr>
        <w:spacing w:line="360" w:lineRule="auto"/>
        <w:ind w:firstLine="480" w:firstLineChars="200"/>
        <w:jc w:val="both"/>
        <w:rPr>
          <w:rFonts w:cs="仿宋" w:asciiTheme="minorEastAsia" w:hAnsiTheme="minorEastAsia" w:eastAsiaTheme="minorEastAsia"/>
          <w:sz w:val="24"/>
        </w:rPr>
      </w:pP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专此承诺。</w:t>
      </w:r>
    </w:p>
    <w:p>
      <w:pPr>
        <w:spacing w:line="360" w:lineRule="auto"/>
        <w:ind w:firstLine="4320" w:firstLineChars="1800"/>
        <w:jc w:val="both"/>
        <w:rPr>
          <w:rFonts w:cs="仿宋" w:asciiTheme="minorEastAsia" w:hAnsiTheme="minorEastAsia" w:eastAsiaTheme="minorEastAsia"/>
          <w:sz w:val="24"/>
        </w:rPr>
      </w:pPr>
      <w:r>
        <w:rPr>
          <w:rFonts w:hint="eastAsia" w:cs="仿宋" w:asciiTheme="minorEastAsia" w:hAnsiTheme="minorEastAsia" w:eastAsiaTheme="minorEastAsia"/>
          <w:sz w:val="24"/>
        </w:rPr>
        <w:t>承诺单位</w:t>
      </w:r>
      <w:r>
        <w:rPr>
          <w:rFonts w:cs="仿宋" w:asciiTheme="minorEastAsia" w:hAnsiTheme="minorEastAsia" w:eastAsiaTheme="minorEastAsia"/>
          <w:sz w:val="24"/>
        </w:rPr>
        <w:t>（</w:t>
      </w:r>
      <w:r>
        <w:rPr>
          <w:rFonts w:hint="eastAsia" w:cs="仿宋" w:asciiTheme="minorEastAsia" w:hAnsiTheme="minorEastAsia" w:eastAsiaTheme="minorEastAsia"/>
          <w:sz w:val="24"/>
        </w:rPr>
        <w:t>印刷体全称</w:t>
      </w:r>
      <w:r>
        <w:rPr>
          <w:rFonts w:cs="仿宋" w:asciiTheme="minorEastAsia" w:hAnsiTheme="minorEastAsia" w:eastAsiaTheme="minorEastAsia"/>
          <w:sz w:val="24"/>
        </w:rPr>
        <w:t>+</w:t>
      </w:r>
      <w:r>
        <w:rPr>
          <w:rFonts w:hint="eastAsia" w:cs="仿宋" w:asciiTheme="minorEastAsia" w:hAnsiTheme="minorEastAsia" w:eastAsiaTheme="minorEastAsia"/>
          <w:sz w:val="24"/>
        </w:rPr>
        <w:t>单位公章</w:t>
      </w:r>
      <w:r>
        <w:rPr>
          <w:rFonts w:cs="仿宋" w:asciiTheme="minorEastAsia" w:hAnsiTheme="minorEastAsia" w:eastAsiaTheme="minorEastAsia"/>
          <w:sz w:val="24"/>
        </w:rPr>
        <w:t>）：</w:t>
      </w:r>
    </w:p>
    <w:p>
      <w:pPr>
        <w:spacing w:line="360" w:lineRule="auto"/>
        <w:ind w:firstLine="3600" w:firstLineChars="1500"/>
        <w:jc w:val="both"/>
        <w:rPr>
          <w:rFonts w:cs="仿宋" w:asciiTheme="minorEastAsia" w:hAnsiTheme="minorEastAsia" w:eastAsiaTheme="minorEastAsia"/>
          <w:sz w:val="24"/>
        </w:rPr>
      </w:pPr>
      <w:r>
        <w:rPr>
          <w:rFonts w:hint="eastAsia" w:cs="仿宋" w:asciiTheme="minorEastAsia" w:hAnsiTheme="minorEastAsia" w:eastAsiaTheme="minorEastAsia"/>
          <w:sz w:val="24"/>
        </w:rPr>
        <w:t>承诺单位法定代表人或其委托代理人（印刷体+</w:t>
      </w:r>
      <w:r>
        <w:rPr>
          <w:rFonts w:cs="仿宋" w:asciiTheme="minorEastAsia" w:hAnsiTheme="minorEastAsia" w:eastAsiaTheme="minorEastAsia"/>
          <w:sz w:val="24"/>
        </w:rPr>
        <w:t>签字）：</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年</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月</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spacing w:line="360" w:lineRule="auto"/>
        <w:jc w:val="center"/>
        <w:rPr>
          <w:rFonts w:ascii="黑体" w:hAnsi="黑体" w:eastAsia="黑体" w:cs="仿宋"/>
          <w:sz w:val="36"/>
          <w:szCs w:val="36"/>
        </w:rPr>
      </w:pPr>
      <w:r>
        <w:rPr>
          <w:rFonts w:hint="eastAsia" w:cs="仿宋" w:asciiTheme="minorEastAsia" w:hAnsiTheme="minorEastAsia" w:eastAsiaTheme="minorEastAsia"/>
          <w:sz w:val="24"/>
        </w:rPr>
        <w:br w:type="page"/>
      </w:r>
      <w:r>
        <w:rPr>
          <w:rFonts w:hint="eastAsia" w:ascii="黑体" w:hAnsi="黑体" w:eastAsia="黑体" w:cs="仿宋"/>
          <w:sz w:val="36"/>
          <w:szCs w:val="36"/>
        </w:rPr>
        <w:t>二、授权委托书</w:t>
      </w:r>
    </w:p>
    <w:p>
      <w:pPr>
        <w:adjustRightInd w:val="0"/>
        <w:snapToGrid w:val="0"/>
        <w:spacing w:line="360" w:lineRule="auto"/>
        <w:ind w:left="420" w:leftChars="200"/>
        <w:jc w:val="both"/>
        <w:rPr>
          <w:rFonts w:cs="仿宋" w:asciiTheme="minorEastAsia" w:hAnsiTheme="minorEastAsia" w:eastAsiaTheme="minorEastAsia"/>
          <w:sz w:val="24"/>
        </w:rPr>
      </w:pPr>
    </w:p>
    <w:p>
      <w:pPr>
        <w:adjustRightInd w:val="0"/>
        <w:snapToGrid w:val="0"/>
        <w:spacing w:line="360" w:lineRule="auto"/>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(适用于有委托代理人的情况)</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本人（姓名）系（供应商名称）的法定代表人(单位负责人)，现委托___(姓名)为我方代理人。代理人根据授权，以我方名义签署、澄清确认、递交、撤回、修改采购项目响应文件，签订合同和处理有关事宜，其法律后果由我方承担。</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委托期限:自本委托书签署之日起至</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采购项目签订采购合同之日止。</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代理人无转委托权。</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附:法定代表人(单位负责人)身份证复印件及委托代理人身份证复印件。</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供应商:(盖单位章)</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法定代表人(单位负责人):(签字)</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委托代理人:(签字)</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p>
      <w:pPr>
        <w:adjustRightInd w:val="0"/>
        <w:snapToGrid w:val="0"/>
        <w:spacing w:line="360" w:lineRule="auto"/>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年_月日</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spacing w:line="360" w:lineRule="auto"/>
        <w:jc w:val="center"/>
        <w:rPr>
          <w:rFonts w:ascii="黑体" w:hAnsi="黑体" w:eastAsia="黑体" w:cs="仿宋"/>
          <w:sz w:val="36"/>
          <w:szCs w:val="36"/>
        </w:rPr>
      </w:pPr>
      <w:r>
        <w:rPr>
          <w:rFonts w:hint="eastAsia" w:ascii="黑体" w:hAnsi="黑体" w:eastAsia="黑体" w:cs="仿宋"/>
          <w:sz w:val="36"/>
          <w:szCs w:val="36"/>
        </w:rPr>
        <w:t>三、商务和技术偏差表</w:t>
      </w:r>
    </w:p>
    <w:p>
      <w:pPr>
        <w:spacing w:line="360" w:lineRule="auto"/>
        <w:jc w:val="center"/>
        <w:rPr>
          <w:rFonts w:cs="仿宋" w:asciiTheme="minorEastAsia" w:hAnsiTheme="minorEastAsia" w:eastAsiaTheme="minorEastAsia"/>
          <w:sz w:val="24"/>
        </w:rPr>
      </w:pPr>
    </w:p>
    <w:tbl>
      <w:tblPr>
        <w:tblStyle w:val="40"/>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9"/>
        <w:gridCol w:w="3000"/>
        <w:gridCol w:w="2631"/>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9" w:type="dxa"/>
          </w:tcPr>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序号</w:t>
            </w:r>
          </w:p>
        </w:tc>
        <w:tc>
          <w:tcPr>
            <w:tcW w:w="3000" w:type="dxa"/>
          </w:tcPr>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采购文件章节及条款号</w:t>
            </w:r>
          </w:p>
        </w:tc>
        <w:tc>
          <w:tcPr>
            <w:tcW w:w="2631" w:type="dxa"/>
          </w:tcPr>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响应文件章节及条款号</w:t>
            </w:r>
          </w:p>
        </w:tc>
        <w:tc>
          <w:tcPr>
            <w:tcW w:w="2464" w:type="dxa"/>
          </w:tcPr>
          <w:p>
            <w:pPr>
              <w:widowControl/>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9" w:type="dxa"/>
          </w:tcPr>
          <w:p>
            <w:pPr>
              <w:widowControl/>
              <w:spacing w:line="360" w:lineRule="auto"/>
              <w:jc w:val="center"/>
              <w:rPr>
                <w:rFonts w:cs="仿宋" w:asciiTheme="minorEastAsia" w:hAnsiTheme="minorEastAsia" w:eastAsiaTheme="minorEastAsia"/>
                <w:sz w:val="24"/>
              </w:rPr>
            </w:pPr>
          </w:p>
        </w:tc>
        <w:tc>
          <w:tcPr>
            <w:tcW w:w="3000" w:type="dxa"/>
          </w:tcPr>
          <w:p>
            <w:pPr>
              <w:widowControl/>
              <w:spacing w:line="360" w:lineRule="auto"/>
              <w:jc w:val="center"/>
              <w:rPr>
                <w:rFonts w:cs="仿宋" w:asciiTheme="minorEastAsia" w:hAnsiTheme="minorEastAsia" w:eastAsiaTheme="minorEastAsia"/>
                <w:sz w:val="24"/>
              </w:rPr>
            </w:pPr>
          </w:p>
        </w:tc>
        <w:tc>
          <w:tcPr>
            <w:tcW w:w="2631" w:type="dxa"/>
          </w:tcPr>
          <w:p>
            <w:pPr>
              <w:widowControl/>
              <w:spacing w:line="360" w:lineRule="auto"/>
              <w:jc w:val="center"/>
              <w:rPr>
                <w:rFonts w:cs="仿宋" w:asciiTheme="minorEastAsia" w:hAnsiTheme="minorEastAsia" w:eastAsiaTheme="minorEastAsia"/>
                <w:sz w:val="24"/>
              </w:rPr>
            </w:pPr>
          </w:p>
        </w:tc>
        <w:tc>
          <w:tcPr>
            <w:tcW w:w="2464" w:type="dxa"/>
          </w:tcPr>
          <w:p>
            <w:pPr>
              <w:widowControl/>
              <w:spacing w:line="360" w:lineRule="auto"/>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9" w:type="dxa"/>
          </w:tcPr>
          <w:p>
            <w:pPr>
              <w:widowControl/>
              <w:spacing w:line="360" w:lineRule="auto"/>
              <w:jc w:val="center"/>
              <w:rPr>
                <w:rFonts w:cs="仿宋" w:asciiTheme="minorEastAsia" w:hAnsiTheme="minorEastAsia" w:eastAsiaTheme="minorEastAsia"/>
                <w:sz w:val="24"/>
              </w:rPr>
            </w:pPr>
          </w:p>
        </w:tc>
        <w:tc>
          <w:tcPr>
            <w:tcW w:w="3000" w:type="dxa"/>
          </w:tcPr>
          <w:p>
            <w:pPr>
              <w:widowControl/>
              <w:spacing w:line="360" w:lineRule="auto"/>
              <w:jc w:val="center"/>
              <w:rPr>
                <w:rFonts w:cs="仿宋" w:asciiTheme="minorEastAsia" w:hAnsiTheme="minorEastAsia" w:eastAsiaTheme="minorEastAsia"/>
                <w:sz w:val="24"/>
              </w:rPr>
            </w:pPr>
          </w:p>
        </w:tc>
        <w:tc>
          <w:tcPr>
            <w:tcW w:w="2631" w:type="dxa"/>
          </w:tcPr>
          <w:p>
            <w:pPr>
              <w:widowControl/>
              <w:spacing w:line="360" w:lineRule="auto"/>
              <w:jc w:val="center"/>
              <w:rPr>
                <w:rFonts w:cs="仿宋" w:asciiTheme="minorEastAsia" w:hAnsiTheme="minorEastAsia" w:eastAsiaTheme="minorEastAsia"/>
                <w:sz w:val="24"/>
              </w:rPr>
            </w:pPr>
          </w:p>
        </w:tc>
        <w:tc>
          <w:tcPr>
            <w:tcW w:w="2464" w:type="dxa"/>
          </w:tcPr>
          <w:p>
            <w:pPr>
              <w:widowControl/>
              <w:spacing w:line="360" w:lineRule="auto"/>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9" w:type="dxa"/>
          </w:tcPr>
          <w:p>
            <w:pPr>
              <w:widowControl/>
              <w:spacing w:line="360" w:lineRule="auto"/>
              <w:jc w:val="center"/>
              <w:rPr>
                <w:rFonts w:cs="仿宋" w:asciiTheme="minorEastAsia" w:hAnsiTheme="minorEastAsia" w:eastAsiaTheme="minorEastAsia"/>
                <w:sz w:val="24"/>
              </w:rPr>
            </w:pPr>
          </w:p>
        </w:tc>
        <w:tc>
          <w:tcPr>
            <w:tcW w:w="3000" w:type="dxa"/>
          </w:tcPr>
          <w:p>
            <w:pPr>
              <w:widowControl/>
              <w:spacing w:line="360" w:lineRule="auto"/>
              <w:jc w:val="center"/>
              <w:rPr>
                <w:rFonts w:cs="仿宋" w:asciiTheme="minorEastAsia" w:hAnsiTheme="minorEastAsia" w:eastAsiaTheme="minorEastAsia"/>
                <w:sz w:val="24"/>
              </w:rPr>
            </w:pPr>
          </w:p>
        </w:tc>
        <w:tc>
          <w:tcPr>
            <w:tcW w:w="2631" w:type="dxa"/>
          </w:tcPr>
          <w:p>
            <w:pPr>
              <w:widowControl/>
              <w:spacing w:line="360" w:lineRule="auto"/>
              <w:jc w:val="center"/>
              <w:rPr>
                <w:rFonts w:cs="仿宋" w:asciiTheme="minorEastAsia" w:hAnsiTheme="minorEastAsia" w:eastAsiaTheme="minorEastAsia"/>
                <w:sz w:val="24"/>
              </w:rPr>
            </w:pPr>
          </w:p>
        </w:tc>
        <w:tc>
          <w:tcPr>
            <w:tcW w:w="2464" w:type="dxa"/>
          </w:tcPr>
          <w:p>
            <w:pPr>
              <w:widowControl/>
              <w:spacing w:line="360" w:lineRule="auto"/>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9" w:type="dxa"/>
          </w:tcPr>
          <w:p>
            <w:pPr>
              <w:widowControl/>
              <w:spacing w:line="360" w:lineRule="auto"/>
              <w:jc w:val="center"/>
              <w:rPr>
                <w:rFonts w:cs="仿宋" w:asciiTheme="minorEastAsia" w:hAnsiTheme="minorEastAsia" w:eastAsiaTheme="minorEastAsia"/>
                <w:sz w:val="24"/>
              </w:rPr>
            </w:pPr>
          </w:p>
        </w:tc>
        <w:tc>
          <w:tcPr>
            <w:tcW w:w="3000" w:type="dxa"/>
          </w:tcPr>
          <w:p>
            <w:pPr>
              <w:widowControl/>
              <w:spacing w:line="360" w:lineRule="auto"/>
              <w:jc w:val="center"/>
              <w:rPr>
                <w:rFonts w:cs="仿宋" w:asciiTheme="minorEastAsia" w:hAnsiTheme="minorEastAsia" w:eastAsiaTheme="minorEastAsia"/>
                <w:sz w:val="24"/>
              </w:rPr>
            </w:pPr>
          </w:p>
        </w:tc>
        <w:tc>
          <w:tcPr>
            <w:tcW w:w="2631" w:type="dxa"/>
          </w:tcPr>
          <w:p>
            <w:pPr>
              <w:widowControl/>
              <w:spacing w:line="360" w:lineRule="auto"/>
              <w:jc w:val="center"/>
              <w:rPr>
                <w:rFonts w:cs="仿宋" w:asciiTheme="minorEastAsia" w:hAnsiTheme="minorEastAsia" w:eastAsiaTheme="minorEastAsia"/>
                <w:sz w:val="24"/>
              </w:rPr>
            </w:pPr>
          </w:p>
        </w:tc>
        <w:tc>
          <w:tcPr>
            <w:tcW w:w="2464" w:type="dxa"/>
          </w:tcPr>
          <w:p>
            <w:pPr>
              <w:widowControl/>
              <w:spacing w:line="360" w:lineRule="auto"/>
              <w:jc w:val="center"/>
              <w:rPr>
                <w:rFonts w:cs="仿宋" w:asciiTheme="minorEastAsia" w:hAnsiTheme="minorEastAsia" w:eastAsiaTheme="minorEastAsia"/>
                <w:sz w:val="24"/>
              </w:rPr>
            </w:pPr>
          </w:p>
        </w:tc>
      </w:tr>
    </w:tbl>
    <w:p>
      <w:pPr>
        <w:spacing w:line="360" w:lineRule="auto"/>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供应商保证：除商务和技术偏差表列出的偏差外，供应商响应采购文件的全部要求。</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spacing w:line="360" w:lineRule="auto"/>
        <w:ind w:left="420"/>
        <w:jc w:val="center"/>
        <w:rPr>
          <w:rFonts w:ascii="黑体" w:hAnsi="黑体" w:eastAsia="黑体" w:cs="仿宋"/>
          <w:sz w:val="36"/>
          <w:szCs w:val="36"/>
        </w:rPr>
      </w:pPr>
      <w:r>
        <w:rPr>
          <w:rFonts w:hint="eastAsia" w:ascii="黑体" w:hAnsi="黑体" w:eastAsia="黑体" w:cs="仿宋"/>
          <w:sz w:val="36"/>
          <w:szCs w:val="36"/>
        </w:rPr>
        <w:t>四、报价表</w:t>
      </w:r>
    </w:p>
    <w:p>
      <w:pPr>
        <w:numPr>
          <w:ilvl w:val="0"/>
          <w:numId w:val="7"/>
        </w:numPr>
        <w:spacing w:line="360" w:lineRule="auto"/>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报价表说明</w:t>
      </w:r>
    </w:p>
    <w:p>
      <w:pPr>
        <w:numPr>
          <w:ilvl w:val="0"/>
          <w:numId w:val="7"/>
        </w:numPr>
        <w:spacing w:line="360" w:lineRule="auto"/>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报价表</w:t>
      </w:r>
    </w:p>
    <w:p>
      <w:pPr>
        <w:pStyle w:val="15"/>
      </w:pPr>
      <w:r>
        <w:rPr>
          <w:rFonts w:hint="eastAsia"/>
          <w:b/>
          <w:bCs/>
          <w:color w:val="000000"/>
          <w:sz w:val="24"/>
        </w:rPr>
        <w:t xml:space="preserve">                                                      税率:</w:t>
      </w:r>
      <w:r>
        <w:rPr>
          <w:rFonts w:hint="eastAsia"/>
          <w:b/>
          <w:bCs/>
          <w:color w:val="000000"/>
          <w:sz w:val="24"/>
          <w:u w:val="single"/>
        </w:rPr>
        <w:t xml:space="preserve">                  </w:t>
      </w:r>
    </w:p>
    <w:tbl>
      <w:tblPr>
        <w:tblStyle w:val="39"/>
        <w:tblW w:w="87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1350"/>
        <w:gridCol w:w="1132"/>
        <w:gridCol w:w="1506"/>
        <w:gridCol w:w="1883"/>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231" w:type="dxa"/>
            <w:noWrap/>
            <w:vAlign w:val="center"/>
          </w:tcPr>
          <w:p>
            <w:pPr>
              <w:jc w:val="center"/>
              <w:rPr>
                <w:b/>
                <w:bCs/>
                <w:color w:val="000000"/>
                <w:sz w:val="32"/>
              </w:rPr>
            </w:pPr>
            <w:r>
              <w:rPr>
                <w:rFonts w:hint="eastAsia"/>
                <w:b/>
                <w:bCs/>
                <w:color w:val="000000"/>
                <w:sz w:val="32"/>
              </w:rPr>
              <w:t>项目</w:t>
            </w:r>
          </w:p>
        </w:tc>
        <w:tc>
          <w:tcPr>
            <w:tcW w:w="1350" w:type="dxa"/>
            <w:noWrap/>
            <w:vAlign w:val="center"/>
          </w:tcPr>
          <w:p>
            <w:pPr>
              <w:jc w:val="center"/>
              <w:rPr>
                <w:b/>
                <w:bCs/>
                <w:color w:val="000000"/>
                <w:sz w:val="32"/>
              </w:rPr>
            </w:pPr>
            <w:r>
              <w:rPr>
                <w:rFonts w:hint="eastAsia"/>
                <w:b/>
                <w:bCs/>
                <w:color w:val="000000"/>
                <w:sz w:val="32"/>
              </w:rPr>
              <w:t>型号</w:t>
            </w:r>
          </w:p>
        </w:tc>
        <w:tc>
          <w:tcPr>
            <w:tcW w:w="1132" w:type="dxa"/>
            <w:noWrap/>
            <w:vAlign w:val="center"/>
          </w:tcPr>
          <w:p>
            <w:pPr>
              <w:jc w:val="center"/>
              <w:rPr>
                <w:b/>
                <w:bCs/>
                <w:color w:val="000000"/>
                <w:sz w:val="32"/>
              </w:rPr>
            </w:pPr>
            <w:r>
              <w:rPr>
                <w:rFonts w:hint="eastAsia"/>
                <w:b/>
                <w:bCs/>
                <w:color w:val="000000"/>
                <w:sz w:val="32"/>
              </w:rPr>
              <w:t>数量</w:t>
            </w:r>
          </w:p>
        </w:tc>
        <w:tc>
          <w:tcPr>
            <w:tcW w:w="1506" w:type="dxa"/>
            <w:noWrap/>
            <w:vAlign w:val="center"/>
          </w:tcPr>
          <w:p>
            <w:pPr>
              <w:jc w:val="center"/>
              <w:rPr>
                <w:b/>
                <w:bCs/>
                <w:color w:val="000000"/>
                <w:sz w:val="32"/>
              </w:rPr>
            </w:pPr>
            <w:r>
              <w:rPr>
                <w:rFonts w:hint="eastAsia"/>
                <w:b/>
                <w:bCs/>
                <w:color w:val="000000"/>
                <w:sz w:val="32"/>
              </w:rPr>
              <w:t>单价（含税）</w:t>
            </w:r>
          </w:p>
        </w:tc>
        <w:tc>
          <w:tcPr>
            <w:tcW w:w="1883" w:type="dxa"/>
            <w:noWrap/>
            <w:vAlign w:val="center"/>
          </w:tcPr>
          <w:p>
            <w:pPr>
              <w:jc w:val="center"/>
              <w:rPr>
                <w:b/>
                <w:bCs/>
                <w:color w:val="000000"/>
                <w:sz w:val="32"/>
              </w:rPr>
            </w:pPr>
            <w:r>
              <w:rPr>
                <w:rFonts w:hint="eastAsia"/>
                <w:b/>
                <w:bCs/>
                <w:color w:val="000000"/>
                <w:sz w:val="32"/>
              </w:rPr>
              <w:t>总价（含税）</w:t>
            </w:r>
          </w:p>
        </w:tc>
        <w:tc>
          <w:tcPr>
            <w:tcW w:w="1605" w:type="dxa"/>
            <w:noWrap/>
            <w:vAlign w:val="center"/>
          </w:tcPr>
          <w:p>
            <w:pPr>
              <w:jc w:val="center"/>
              <w:rPr>
                <w:b/>
                <w:bCs/>
                <w:color w:val="000000"/>
                <w:sz w:val="32"/>
              </w:rPr>
            </w:pPr>
            <w:r>
              <w:rPr>
                <w:rFonts w:hint="eastAsia"/>
                <w:b/>
                <w:bCs/>
                <w:color w:val="000000"/>
                <w:sz w:val="32"/>
              </w:rPr>
              <w:t>配置描述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231" w:type="dxa"/>
            <w:noWrap/>
            <w:vAlign w:val="center"/>
          </w:tcPr>
          <w:p>
            <w:pPr>
              <w:autoSpaceDE w:val="0"/>
              <w:autoSpaceDN w:val="0"/>
              <w:adjustRightInd w:val="0"/>
              <w:spacing w:line="280" w:lineRule="atLeast"/>
              <w:jc w:val="center"/>
              <w:rPr>
                <w:b/>
                <w:bCs/>
                <w:color w:val="000000"/>
                <w:sz w:val="24"/>
              </w:rPr>
            </w:pPr>
            <w:r>
              <w:rPr>
                <w:rFonts w:hint="eastAsia" w:ascii="方正仿宋_GBK" w:hAnsi="Times" w:eastAsia="方正仿宋_GBK" w:cs="Times"/>
                <w:color w:val="000000"/>
                <w:kern w:val="0"/>
                <w:sz w:val="24"/>
              </w:rPr>
              <w:t>超融合服务器</w:t>
            </w:r>
          </w:p>
        </w:tc>
        <w:tc>
          <w:tcPr>
            <w:tcW w:w="1350" w:type="dxa"/>
            <w:noWrap/>
            <w:vAlign w:val="center"/>
          </w:tcPr>
          <w:p>
            <w:pPr>
              <w:autoSpaceDE w:val="0"/>
              <w:autoSpaceDN w:val="0"/>
              <w:adjustRightInd w:val="0"/>
              <w:spacing w:line="280" w:lineRule="atLeast"/>
              <w:jc w:val="center"/>
              <w:rPr>
                <w:b/>
                <w:bCs/>
                <w:color w:val="000000"/>
                <w:sz w:val="24"/>
              </w:rPr>
            </w:pPr>
          </w:p>
        </w:tc>
        <w:tc>
          <w:tcPr>
            <w:tcW w:w="1132" w:type="dxa"/>
            <w:noWrap/>
            <w:vAlign w:val="center"/>
          </w:tcPr>
          <w:p>
            <w:pPr>
              <w:autoSpaceDE w:val="0"/>
              <w:autoSpaceDN w:val="0"/>
              <w:adjustRightInd w:val="0"/>
              <w:spacing w:line="280" w:lineRule="atLeast"/>
              <w:jc w:val="center"/>
              <w:rPr>
                <w:rFonts w:ascii="Times New Roman" w:hAnsi="Times New Roman" w:eastAsia="宋体" w:cs="Times New Roman"/>
                <w:b/>
                <w:bCs/>
                <w:color w:val="000000"/>
                <w:kern w:val="2"/>
                <w:sz w:val="24"/>
                <w:szCs w:val="24"/>
                <w:lang w:val="en-US" w:eastAsia="zh-CN" w:bidi="ar-SA"/>
              </w:rPr>
            </w:pPr>
            <w:r>
              <w:rPr>
                <w:rFonts w:ascii="方正仿宋_GBK" w:hAnsi="Times" w:eastAsia="方正仿宋_GBK" w:cs="Times"/>
                <w:color w:val="000000"/>
                <w:kern w:val="0"/>
                <w:sz w:val="24"/>
              </w:rPr>
              <w:t>3</w:t>
            </w:r>
            <w:r>
              <w:rPr>
                <w:rFonts w:hint="eastAsia" w:ascii="方正仿宋_GBK" w:hAnsi="Times" w:eastAsia="方正仿宋_GBK" w:cs="Times"/>
                <w:color w:val="000000"/>
                <w:kern w:val="0"/>
                <w:sz w:val="24"/>
              </w:rPr>
              <w:t>台</w:t>
            </w:r>
          </w:p>
        </w:tc>
        <w:tc>
          <w:tcPr>
            <w:tcW w:w="1506" w:type="dxa"/>
            <w:noWrap/>
            <w:vAlign w:val="center"/>
          </w:tcPr>
          <w:p>
            <w:pPr>
              <w:jc w:val="center"/>
              <w:rPr>
                <w:b/>
                <w:bCs/>
                <w:color w:val="000000"/>
                <w:sz w:val="24"/>
              </w:rPr>
            </w:pPr>
          </w:p>
        </w:tc>
        <w:tc>
          <w:tcPr>
            <w:tcW w:w="1883" w:type="dxa"/>
            <w:noWrap/>
            <w:vAlign w:val="center"/>
          </w:tcPr>
          <w:p>
            <w:pPr>
              <w:jc w:val="center"/>
              <w:rPr>
                <w:b/>
                <w:bCs/>
                <w:color w:val="000000"/>
                <w:sz w:val="24"/>
              </w:rPr>
            </w:pPr>
          </w:p>
        </w:tc>
        <w:tc>
          <w:tcPr>
            <w:tcW w:w="1605" w:type="dxa"/>
            <w:noWrap/>
            <w:vAlign w:val="center"/>
          </w:tcPr>
          <w:p>
            <w:pPr>
              <w:rPr>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1231" w:type="dxa"/>
            <w:noWrap/>
            <w:vAlign w:val="center"/>
          </w:tcPr>
          <w:p>
            <w:pPr>
              <w:autoSpaceDE w:val="0"/>
              <w:autoSpaceDN w:val="0"/>
              <w:adjustRightInd w:val="0"/>
              <w:spacing w:line="280" w:lineRule="atLeast"/>
              <w:jc w:val="center"/>
              <w:rPr>
                <w:rFonts w:asciiTheme="minorEastAsia" w:hAnsiTheme="minorEastAsia" w:eastAsiaTheme="minorEastAsia" w:cstheme="minorEastAsia"/>
                <w:color w:val="000000"/>
                <w:kern w:val="0"/>
                <w:sz w:val="24"/>
                <w:highlight w:val="yellow"/>
              </w:rPr>
            </w:pPr>
            <w:r>
              <w:rPr>
                <w:rFonts w:hint="eastAsia" w:ascii="方正仿宋_GBK" w:hAnsi="Times" w:eastAsia="方正仿宋_GBK" w:cs="Times"/>
                <w:color w:val="000000"/>
                <w:kern w:val="0"/>
                <w:sz w:val="24"/>
              </w:rPr>
              <w:t>超融合服务器防病毒软件一套</w:t>
            </w:r>
          </w:p>
        </w:tc>
        <w:tc>
          <w:tcPr>
            <w:tcW w:w="1350" w:type="dxa"/>
            <w:noWrap/>
            <w:vAlign w:val="center"/>
          </w:tcPr>
          <w:p>
            <w:pPr>
              <w:autoSpaceDE w:val="0"/>
              <w:autoSpaceDN w:val="0"/>
              <w:adjustRightInd w:val="0"/>
              <w:spacing w:line="280" w:lineRule="atLeast"/>
              <w:jc w:val="center"/>
              <w:rPr>
                <w:rFonts w:asciiTheme="minorEastAsia" w:hAnsiTheme="minorEastAsia" w:eastAsiaTheme="minorEastAsia" w:cstheme="minorEastAsia"/>
                <w:sz w:val="24"/>
                <w:highlight w:val="yellow"/>
              </w:rPr>
            </w:pPr>
          </w:p>
        </w:tc>
        <w:tc>
          <w:tcPr>
            <w:tcW w:w="1132" w:type="dxa"/>
            <w:noWrap/>
            <w:vAlign w:val="center"/>
          </w:tcPr>
          <w:p>
            <w:pPr>
              <w:autoSpaceDE w:val="0"/>
              <w:autoSpaceDN w:val="0"/>
              <w:adjustRightInd w:val="0"/>
              <w:spacing w:line="280" w:lineRule="atLeast"/>
              <w:jc w:val="center"/>
              <w:rPr>
                <w:rFonts w:asciiTheme="minorEastAsia" w:hAnsiTheme="minorEastAsia" w:eastAsiaTheme="minorEastAsia" w:cstheme="minorEastAsia"/>
                <w:kern w:val="2"/>
                <w:sz w:val="24"/>
                <w:szCs w:val="24"/>
                <w:highlight w:val="yellow"/>
                <w:lang w:val="en-US" w:eastAsia="zh-CN" w:bidi="ar-SA"/>
              </w:rPr>
            </w:pPr>
            <w:r>
              <w:rPr>
                <w:rFonts w:hint="eastAsia" w:ascii="方正仿宋_GBK" w:hAnsi="Times" w:eastAsia="方正仿宋_GBK" w:cs="Times"/>
                <w:color w:val="000000"/>
                <w:kern w:val="0"/>
                <w:sz w:val="24"/>
              </w:rPr>
              <w:t>1套</w:t>
            </w:r>
          </w:p>
        </w:tc>
        <w:tc>
          <w:tcPr>
            <w:tcW w:w="1506" w:type="dxa"/>
            <w:noWrap/>
            <w:vAlign w:val="center"/>
          </w:tcPr>
          <w:p>
            <w:pPr>
              <w:autoSpaceDE w:val="0"/>
              <w:autoSpaceDN w:val="0"/>
              <w:adjustRightInd w:val="0"/>
              <w:spacing w:line="280" w:lineRule="atLeast"/>
              <w:jc w:val="center"/>
              <w:rPr>
                <w:rFonts w:asciiTheme="minorEastAsia" w:hAnsiTheme="minorEastAsia" w:eastAsiaTheme="minorEastAsia" w:cstheme="minorEastAsia"/>
                <w:sz w:val="24"/>
                <w:highlight w:val="yellow"/>
              </w:rPr>
            </w:pPr>
          </w:p>
        </w:tc>
        <w:tc>
          <w:tcPr>
            <w:tcW w:w="1883" w:type="dxa"/>
            <w:noWrap/>
            <w:vAlign w:val="center"/>
          </w:tcPr>
          <w:p>
            <w:pPr>
              <w:autoSpaceDE w:val="0"/>
              <w:autoSpaceDN w:val="0"/>
              <w:adjustRightInd w:val="0"/>
              <w:spacing w:line="280" w:lineRule="atLeast"/>
              <w:jc w:val="center"/>
              <w:rPr>
                <w:rFonts w:asciiTheme="minorEastAsia" w:hAnsiTheme="minorEastAsia" w:eastAsiaTheme="minorEastAsia" w:cstheme="minorEastAsia"/>
                <w:sz w:val="24"/>
                <w:highlight w:val="yellow"/>
              </w:rPr>
            </w:pPr>
          </w:p>
        </w:tc>
        <w:tc>
          <w:tcPr>
            <w:tcW w:w="1605" w:type="dxa"/>
            <w:noWrap/>
            <w:vAlign w:val="center"/>
          </w:tcPr>
          <w:p>
            <w:pPr>
              <w:jc w:val="center"/>
              <w:rPr>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1231" w:type="dxa"/>
            <w:noWrap/>
            <w:vAlign w:val="center"/>
          </w:tcPr>
          <w:p>
            <w:pPr>
              <w:autoSpaceDE w:val="0"/>
              <w:autoSpaceDN w:val="0"/>
              <w:adjustRightInd w:val="0"/>
              <w:spacing w:line="280" w:lineRule="atLeast"/>
              <w:jc w:val="center"/>
              <w:rPr>
                <w:rFonts w:asciiTheme="minorEastAsia" w:hAnsiTheme="minorEastAsia" w:eastAsiaTheme="minorEastAsia" w:cstheme="minorEastAsia"/>
                <w:color w:val="000000"/>
                <w:kern w:val="0"/>
                <w:sz w:val="24"/>
                <w:highlight w:val="yellow"/>
              </w:rPr>
            </w:pPr>
            <w:r>
              <w:rPr>
                <w:rFonts w:hint="eastAsia" w:ascii="方正仿宋_GBK" w:hAnsi="Times" w:eastAsia="方正仿宋_GBK" w:cs="Times"/>
                <w:color w:val="000000"/>
                <w:kern w:val="0"/>
                <w:sz w:val="24"/>
                <w:lang w:val="en-US" w:eastAsia="zh-CN"/>
              </w:rPr>
              <w:t>万兆交换机</w:t>
            </w:r>
          </w:p>
        </w:tc>
        <w:tc>
          <w:tcPr>
            <w:tcW w:w="1350" w:type="dxa"/>
            <w:noWrap/>
            <w:vAlign w:val="center"/>
          </w:tcPr>
          <w:p>
            <w:pPr>
              <w:autoSpaceDE w:val="0"/>
              <w:autoSpaceDN w:val="0"/>
              <w:adjustRightInd w:val="0"/>
              <w:spacing w:line="280" w:lineRule="atLeast"/>
              <w:jc w:val="center"/>
              <w:rPr>
                <w:rFonts w:asciiTheme="minorEastAsia" w:hAnsiTheme="minorEastAsia" w:eastAsiaTheme="minorEastAsia" w:cstheme="minorEastAsia"/>
                <w:sz w:val="24"/>
                <w:highlight w:val="yellow"/>
              </w:rPr>
            </w:pPr>
          </w:p>
        </w:tc>
        <w:tc>
          <w:tcPr>
            <w:tcW w:w="1132" w:type="dxa"/>
            <w:noWrap/>
            <w:vAlign w:val="center"/>
          </w:tcPr>
          <w:p>
            <w:pPr>
              <w:autoSpaceDE w:val="0"/>
              <w:autoSpaceDN w:val="0"/>
              <w:adjustRightInd w:val="0"/>
              <w:spacing w:line="280" w:lineRule="atLeast"/>
              <w:jc w:val="center"/>
              <w:rPr>
                <w:rFonts w:asciiTheme="minorEastAsia" w:hAnsiTheme="minorEastAsia" w:eastAsiaTheme="minorEastAsia" w:cstheme="minorEastAsia"/>
                <w:kern w:val="2"/>
                <w:sz w:val="24"/>
                <w:szCs w:val="24"/>
                <w:highlight w:val="yellow"/>
                <w:lang w:val="en-US" w:eastAsia="zh-CN" w:bidi="ar-SA"/>
              </w:rPr>
            </w:pPr>
            <w:r>
              <w:rPr>
                <w:rFonts w:hint="eastAsia" w:ascii="方正仿宋_GBK" w:hAnsi="Times" w:eastAsia="方正仿宋_GBK" w:cs="Times"/>
                <w:color w:val="000000"/>
                <w:kern w:val="0"/>
                <w:sz w:val="24"/>
                <w:lang w:val="en-US" w:eastAsia="zh-CN"/>
              </w:rPr>
              <w:t>1台</w:t>
            </w:r>
          </w:p>
        </w:tc>
        <w:tc>
          <w:tcPr>
            <w:tcW w:w="1506" w:type="dxa"/>
            <w:noWrap/>
            <w:vAlign w:val="center"/>
          </w:tcPr>
          <w:p>
            <w:pPr>
              <w:autoSpaceDE w:val="0"/>
              <w:autoSpaceDN w:val="0"/>
              <w:adjustRightInd w:val="0"/>
              <w:spacing w:line="280" w:lineRule="atLeast"/>
              <w:jc w:val="center"/>
              <w:rPr>
                <w:rFonts w:asciiTheme="minorEastAsia" w:hAnsiTheme="minorEastAsia" w:eastAsiaTheme="minorEastAsia" w:cstheme="minorEastAsia"/>
                <w:sz w:val="24"/>
                <w:highlight w:val="yellow"/>
              </w:rPr>
            </w:pPr>
          </w:p>
        </w:tc>
        <w:tc>
          <w:tcPr>
            <w:tcW w:w="1883" w:type="dxa"/>
            <w:noWrap/>
            <w:vAlign w:val="center"/>
          </w:tcPr>
          <w:p>
            <w:pPr>
              <w:autoSpaceDE w:val="0"/>
              <w:autoSpaceDN w:val="0"/>
              <w:adjustRightInd w:val="0"/>
              <w:spacing w:line="280" w:lineRule="atLeast"/>
              <w:jc w:val="center"/>
              <w:rPr>
                <w:rFonts w:asciiTheme="minorEastAsia" w:hAnsiTheme="minorEastAsia" w:eastAsiaTheme="minorEastAsia" w:cstheme="minorEastAsia"/>
                <w:sz w:val="24"/>
                <w:highlight w:val="yellow"/>
              </w:rPr>
            </w:pPr>
          </w:p>
        </w:tc>
        <w:tc>
          <w:tcPr>
            <w:tcW w:w="1605" w:type="dxa"/>
            <w:noWrap/>
            <w:vAlign w:val="center"/>
          </w:tcPr>
          <w:p>
            <w:pPr>
              <w:jc w:val="center"/>
              <w:rPr>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1231" w:type="dxa"/>
            <w:noWrap/>
            <w:vAlign w:val="center"/>
          </w:tcPr>
          <w:p>
            <w:pPr>
              <w:autoSpaceDE w:val="0"/>
              <w:autoSpaceDN w:val="0"/>
              <w:adjustRightInd w:val="0"/>
              <w:spacing w:line="280" w:lineRule="atLeast"/>
              <w:jc w:val="center"/>
              <w:rPr>
                <w:rFonts w:hint="eastAsia" w:ascii="方正仿宋_GBK" w:hAnsi="Times" w:eastAsia="方正仿宋_GBK" w:cs="Times"/>
                <w:color w:val="000000"/>
                <w:kern w:val="0"/>
                <w:sz w:val="24"/>
                <w:lang w:val="en-US" w:eastAsia="zh-CN"/>
              </w:rPr>
            </w:pPr>
            <w:r>
              <w:rPr>
                <w:rFonts w:hint="eastAsia" w:asciiTheme="minorEastAsia" w:hAnsiTheme="minorEastAsia" w:eastAsiaTheme="minorEastAsia" w:cstheme="minorEastAsia"/>
                <w:sz w:val="24"/>
                <w:highlight w:val="none"/>
              </w:rPr>
              <w:t>本地网络服务专线（5公里）</w:t>
            </w:r>
          </w:p>
        </w:tc>
        <w:tc>
          <w:tcPr>
            <w:tcW w:w="1350" w:type="dxa"/>
            <w:noWrap/>
            <w:vAlign w:val="center"/>
          </w:tcPr>
          <w:p>
            <w:pPr>
              <w:autoSpaceDE w:val="0"/>
              <w:autoSpaceDN w:val="0"/>
              <w:adjustRightInd w:val="0"/>
              <w:spacing w:line="280" w:lineRule="atLeast"/>
              <w:jc w:val="center"/>
              <w:rPr>
                <w:rFonts w:asciiTheme="minorEastAsia" w:hAnsiTheme="minorEastAsia" w:eastAsiaTheme="minorEastAsia" w:cstheme="minorEastAsia"/>
                <w:sz w:val="24"/>
                <w:highlight w:val="yellow"/>
              </w:rPr>
            </w:pPr>
          </w:p>
        </w:tc>
        <w:tc>
          <w:tcPr>
            <w:tcW w:w="1132" w:type="dxa"/>
            <w:noWrap/>
            <w:vAlign w:val="center"/>
          </w:tcPr>
          <w:p>
            <w:pPr>
              <w:autoSpaceDE w:val="0"/>
              <w:autoSpaceDN w:val="0"/>
              <w:adjustRightInd w:val="0"/>
              <w:spacing w:line="280" w:lineRule="atLeast"/>
              <w:jc w:val="center"/>
              <w:rPr>
                <w:rFonts w:hint="default" w:ascii="方正仿宋_GBK" w:hAnsi="Times" w:eastAsia="方正仿宋_GBK" w:cs="Times"/>
                <w:color w:val="000000"/>
                <w:kern w:val="0"/>
                <w:sz w:val="24"/>
                <w:lang w:val="en-US" w:eastAsia="zh-CN"/>
              </w:rPr>
            </w:pPr>
            <w:r>
              <w:rPr>
                <w:rFonts w:hint="eastAsia" w:ascii="方正仿宋_GBK" w:hAnsi="Times" w:eastAsia="方正仿宋_GBK" w:cs="Times"/>
                <w:color w:val="000000"/>
                <w:kern w:val="0"/>
                <w:sz w:val="24"/>
                <w:lang w:val="en-US" w:eastAsia="zh-CN"/>
              </w:rPr>
              <w:t>2条</w:t>
            </w:r>
          </w:p>
        </w:tc>
        <w:tc>
          <w:tcPr>
            <w:tcW w:w="1506" w:type="dxa"/>
            <w:noWrap/>
            <w:vAlign w:val="center"/>
          </w:tcPr>
          <w:p>
            <w:pPr>
              <w:autoSpaceDE w:val="0"/>
              <w:autoSpaceDN w:val="0"/>
              <w:adjustRightInd w:val="0"/>
              <w:spacing w:line="280" w:lineRule="atLeast"/>
              <w:jc w:val="center"/>
              <w:rPr>
                <w:rFonts w:asciiTheme="minorEastAsia" w:hAnsiTheme="minorEastAsia" w:eastAsiaTheme="minorEastAsia" w:cstheme="minorEastAsia"/>
                <w:sz w:val="24"/>
                <w:highlight w:val="yellow"/>
              </w:rPr>
            </w:pPr>
          </w:p>
        </w:tc>
        <w:tc>
          <w:tcPr>
            <w:tcW w:w="1883" w:type="dxa"/>
            <w:noWrap/>
            <w:vAlign w:val="center"/>
          </w:tcPr>
          <w:p>
            <w:pPr>
              <w:autoSpaceDE w:val="0"/>
              <w:autoSpaceDN w:val="0"/>
              <w:adjustRightInd w:val="0"/>
              <w:spacing w:line="280" w:lineRule="atLeast"/>
              <w:jc w:val="center"/>
              <w:rPr>
                <w:rFonts w:asciiTheme="minorEastAsia" w:hAnsiTheme="minorEastAsia" w:eastAsiaTheme="minorEastAsia" w:cstheme="minorEastAsia"/>
                <w:sz w:val="24"/>
                <w:highlight w:val="yellow"/>
              </w:rPr>
            </w:pPr>
          </w:p>
        </w:tc>
        <w:tc>
          <w:tcPr>
            <w:tcW w:w="1605" w:type="dxa"/>
            <w:noWrap/>
            <w:vAlign w:val="center"/>
          </w:tcPr>
          <w:p>
            <w:pPr>
              <w:jc w:val="center"/>
              <w:rPr>
                <w:b/>
                <w:bCs/>
                <w:color w:val="000000"/>
                <w:sz w:val="24"/>
              </w:rPr>
            </w:pPr>
          </w:p>
        </w:tc>
      </w:tr>
    </w:tbl>
    <w:p>
      <w:pPr>
        <w:spacing w:line="360" w:lineRule="auto"/>
        <w:jc w:val="both"/>
        <w:outlineLvl w:val="0"/>
        <w:rPr>
          <w:rFonts w:cs="仿宋" w:asciiTheme="minorEastAsia" w:hAnsiTheme="minorEastAsia" w:eastAsiaTheme="minorEastAsia"/>
          <w:sz w:val="24"/>
        </w:rPr>
      </w:pPr>
    </w:p>
    <w:p>
      <w:pPr>
        <w:spacing w:line="360" w:lineRule="auto"/>
        <w:ind w:firstLine="2880" w:firstLineChars="1200"/>
        <w:jc w:val="center"/>
        <w:outlineLvl w:val="0"/>
        <w:rPr>
          <w:rFonts w:cs="仿宋" w:asciiTheme="minorEastAsia" w:hAnsiTheme="minorEastAsia" w:eastAsiaTheme="minorEastAsia"/>
          <w:sz w:val="24"/>
        </w:rPr>
      </w:pPr>
    </w:p>
    <w:p>
      <w:pPr>
        <w:spacing w:line="360" w:lineRule="auto"/>
        <w:ind w:firstLine="2880" w:firstLineChars="1200"/>
        <w:jc w:val="center"/>
        <w:outlineLvl w:val="0"/>
        <w:rPr>
          <w:rFonts w:cs="仿宋" w:asciiTheme="minorEastAsia" w:hAnsiTheme="minorEastAsia" w:eastAsiaTheme="minorEastAsia"/>
          <w:sz w:val="24"/>
        </w:rPr>
      </w:pPr>
    </w:p>
    <w:p>
      <w:pPr>
        <w:spacing w:line="360" w:lineRule="auto"/>
        <w:ind w:firstLine="2880" w:firstLineChars="1200"/>
        <w:jc w:val="center"/>
        <w:outlineLvl w:val="0"/>
        <w:rPr>
          <w:rFonts w:cs="仿宋" w:asciiTheme="minorEastAsia" w:hAnsiTheme="minorEastAsia" w:eastAsiaTheme="minorEastAsia"/>
          <w:sz w:val="24"/>
          <w:u w:val="single"/>
        </w:rPr>
      </w:pPr>
      <w:r>
        <w:rPr>
          <w:rFonts w:hint="eastAsia" w:cs="仿宋" w:asciiTheme="minorEastAsia" w:hAnsiTheme="minorEastAsia" w:eastAsiaTheme="minorEastAsia"/>
          <w:sz w:val="24"/>
        </w:rPr>
        <w:t>供应商名称（盖章）：</w:t>
      </w:r>
      <w:r>
        <w:rPr>
          <w:rFonts w:hint="eastAsia" w:cs="仿宋" w:asciiTheme="minorEastAsia" w:hAnsiTheme="minorEastAsia" w:eastAsiaTheme="minorEastAsia"/>
          <w:sz w:val="24"/>
          <w:u w:val="single"/>
        </w:rPr>
        <w:t xml:space="preserve">              </w:t>
      </w:r>
    </w:p>
    <w:p>
      <w:pPr>
        <w:spacing w:line="360" w:lineRule="auto"/>
        <w:ind w:left="420" w:leftChars="200"/>
        <w:jc w:val="center"/>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p>
    <w:p>
      <w:pPr>
        <w:spacing w:line="360" w:lineRule="auto"/>
        <w:ind w:left="420" w:leftChars="200"/>
        <w:jc w:val="center"/>
        <w:rPr>
          <w:rFonts w:cs="仿宋" w:asciiTheme="minorEastAsia" w:hAnsiTheme="minorEastAsia" w:eastAsiaTheme="minorEastAsia"/>
          <w:sz w:val="24"/>
        </w:rPr>
      </w:pPr>
    </w:p>
    <w:p>
      <w:pPr>
        <w:spacing w:line="360" w:lineRule="auto"/>
        <w:ind w:left="420" w:leftChars="200"/>
        <w:jc w:val="center"/>
        <w:rPr>
          <w:rFonts w:cs="仿宋" w:asciiTheme="minorEastAsia" w:hAnsiTheme="minorEastAsia" w:eastAsiaTheme="minorEastAsia"/>
          <w:sz w:val="24"/>
        </w:rPr>
      </w:pPr>
      <w:r>
        <w:rPr>
          <w:rFonts w:hint="eastAsia" w:cs="仿宋" w:asciiTheme="minorEastAsia" w:hAnsiTheme="minorEastAsia" w:eastAsiaTheme="minorEastAsia"/>
          <w:sz w:val="24"/>
        </w:rPr>
        <w:t xml:space="preserve">                                                       年    月    日  </w:t>
      </w:r>
    </w:p>
    <w:p>
      <w:pPr>
        <w:spacing w:line="360" w:lineRule="auto"/>
        <w:jc w:val="both"/>
        <w:rPr>
          <w:rFonts w:cs="仿宋" w:asciiTheme="minorEastAsia" w:hAnsiTheme="minorEastAsia" w:eastAsiaTheme="minorEastAsia"/>
          <w:sz w:val="24"/>
        </w:rPr>
      </w:pPr>
      <w:r>
        <w:rPr>
          <w:rFonts w:cs="仿宋" w:asciiTheme="minorEastAsia" w:hAnsiTheme="minorEastAsia" w:eastAsiaTheme="minorEastAsia"/>
          <w:sz w:val="24"/>
        </w:rPr>
        <w:br w:type="page"/>
      </w:r>
    </w:p>
    <w:p>
      <w:pPr>
        <w:spacing w:line="360" w:lineRule="auto"/>
        <w:jc w:val="both"/>
        <w:rPr>
          <w:rFonts w:cs="仿宋" w:asciiTheme="minorEastAsia" w:hAnsiTheme="minorEastAsia" w:eastAsiaTheme="minorEastAsia"/>
          <w:sz w:val="24"/>
        </w:rPr>
      </w:pPr>
    </w:p>
    <w:p>
      <w:pPr>
        <w:spacing w:line="360" w:lineRule="auto"/>
        <w:jc w:val="center"/>
        <w:rPr>
          <w:rFonts w:ascii="黑体" w:hAnsi="黑体" w:eastAsia="黑体" w:cs="仿宋"/>
          <w:sz w:val="36"/>
          <w:szCs w:val="36"/>
        </w:rPr>
      </w:pPr>
      <w:r>
        <w:rPr>
          <w:rFonts w:hint="eastAsia" w:ascii="黑体" w:hAnsi="黑体" w:eastAsia="黑体" w:cs="仿宋"/>
          <w:sz w:val="36"/>
          <w:szCs w:val="36"/>
        </w:rPr>
        <w:t>五、资格审查资料</w:t>
      </w:r>
    </w:p>
    <w:p>
      <w:pPr>
        <w:spacing w:line="360" w:lineRule="auto"/>
        <w:jc w:val="both"/>
        <w:rPr>
          <w:rFonts w:cs="仿宋" w:asciiTheme="minorEastAsia" w:hAnsiTheme="minorEastAsia" w:eastAsiaTheme="minorEastAsia"/>
          <w:sz w:val="24"/>
        </w:rPr>
      </w:pP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（一）基本情况</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供应商应根据供应商须知前附表第3.5（1）项的要求提供主体资格证明及相关资质证明资料。</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供应商还应根据供应商须知前地表第3.5（4）项和第3.5（5）项的要求提供其他相关证明材料。</w:t>
      </w:r>
    </w:p>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（二）近年的类似项目情况表</w:t>
      </w:r>
    </w:p>
    <w:tbl>
      <w:tblPr>
        <w:tblStyle w:val="40"/>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71"/>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货物名称</w:t>
            </w: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规格和型号</w:t>
            </w: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项目名称</w:t>
            </w: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买方名称</w:t>
            </w: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买方联系人及电话</w:t>
            </w: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合同价格</w:t>
            </w: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项目概况及供应商履约情况</w:t>
            </w: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c>
          <w:tcPr>
            <w:tcW w:w="1971" w:type="dxa"/>
          </w:tcPr>
          <w:p>
            <w:pPr>
              <w:widowControl/>
              <w:spacing w:line="360" w:lineRule="auto"/>
              <w:jc w:val="both"/>
              <w:rPr>
                <w:rFonts w:cs="仿宋" w:asciiTheme="minorEastAsia" w:hAnsiTheme="minorEastAsia" w:eastAsiaTheme="minorEastAsia"/>
                <w:sz w:val="24"/>
              </w:rPr>
            </w:pPr>
          </w:p>
        </w:tc>
      </w:tr>
    </w:tbl>
    <w:p>
      <w:p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注：</w:t>
      </w:r>
    </w:p>
    <w:p>
      <w:pPr>
        <w:numPr>
          <w:ilvl w:val="255"/>
          <w:numId w:val="0"/>
        </w:numPr>
        <w:spacing w:line="360"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1.供应商应根据供应商须知前附表第3.5（4）项的要求在本表后附相关证明材料。</w:t>
      </w:r>
    </w:p>
    <w:p>
      <w:pPr>
        <w:pStyle w:val="15"/>
        <w:rPr>
          <w:rFonts w:cs="仿宋" w:asciiTheme="minorEastAsia" w:hAnsiTheme="minorEastAsia" w:eastAsiaTheme="minorEastAsia"/>
          <w:sz w:val="24"/>
        </w:rPr>
      </w:pPr>
      <w:r>
        <w:rPr>
          <w:rFonts w:hint="eastAsia" w:ascii="宋体" w:hAnsi="宋体" w:cs="宋体"/>
          <w:sz w:val="24"/>
        </w:rPr>
        <w:t>2.类似项目是指与本项目</w:t>
      </w:r>
      <w:r>
        <w:rPr>
          <w:rFonts w:hint="eastAsia" w:ascii="宋体" w:hAnsi="宋体" w:cs="宋体"/>
          <w:sz w:val="24"/>
          <w:u w:val="single"/>
        </w:rPr>
        <w:t>采购规模</w:t>
      </w:r>
      <w:r>
        <w:rPr>
          <w:rFonts w:hint="eastAsia" w:ascii="宋体" w:hAnsi="宋体" w:cs="宋体"/>
          <w:sz w:val="24"/>
        </w:rPr>
        <w:t>、</w:t>
      </w:r>
      <w:r>
        <w:rPr>
          <w:rFonts w:hint="eastAsia" w:ascii="宋体" w:hAnsi="宋体" w:cs="宋体"/>
          <w:sz w:val="24"/>
          <w:u w:val="single"/>
        </w:rPr>
        <w:t>产品类型</w:t>
      </w:r>
      <w:r>
        <w:rPr>
          <w:rFonts w:hint="eastAsia" w:ascii="宋体" w:hAnsi="宋体" w:cs="宋体"/>
          <w:sz w:val="24"/>
        </w:rPr>
        <w:t>、</w:t>
      </w:r>
      <w:r>
        <w:rPr>
          <w:rFonts w:hint="eastAsia" w:ascii="宋体" w:hAnsi="宋体" w:cs="宋体"/>
          <w:sz w:val="24"/>
          <w:u w:val="single"/>
        </w:rPr>
        <w:t>产品型号</w:t>
      </w:r>
      <w:r>
        <w:rPr>
          <w:rFonts w:hint="eastAsia" w:ascii="宋体" w:hAnsi="宋体" w:cs="宋体"/>
          <w:sz w:val="24"/>
        </w:rPr>
        <w:t>、</w:t>
      </w:r>
      <w:r>
        <w:rPr>
          <w:rFonts w:hint="eastAsia" w:ascii="宋体" w:hAnsi="宋体" w:cs="宋体"/>
          <w:sz w:val="24"/>
          <w:u w:val="single"/>
        </w:rPr>
        <w:t>使用功能</w:t>
      </w:r>
      <w:r>
        <w:rPr>
          <w:rFonts w:hint="eastAsia" w:ascii="宋体" w:hAnsi="宋体" w:cs="宋体"/>
          <w:sz w:val="24"/>
        </w:rPr>
        <w:t>等相近或相同的项目。</w:t>
      </w:r>
    </w:p>
    <w:p>
      <w:pPr>
        <w:spacing w:line="360" w:lineRule="auto"/>
        <w:jc w:val="both"/>
        <w:rPr>
          <w:rFonts w:cs="仿宋" w:asciiTheme="minorEastAsia" w:hAnsiTheme="minorEastAsia" w:eastAsiaTheme="minorEastAsia"/>
          <w:sz w:val="24"/>
        </w:rPr>
      </w:pPr>
    </w:p>
    <w:p>
      <w:pPr>
        <w:spacing w:line="360" w:lineRule="auto"/>
        <w:jc w:val="both"/>
        <w:rPr>
          <w:rFonts w:cs="仿宋" w:asciiTheme="minorEastAsia" w:hAnsiTheme="minorEastAsia" w:eastAsiaTheme="minorEastAsia"/>
          <w:sz w:val="24"/>
        </w:rPr>
      </w:pPr>
    </w:p>
    <w:p>
      <w:pPr>
        <w:spacing w:line="360" w:lineRule="auto"/>
        <w:jc w:val="both"/>
        <w:rPr>
          <w:rFonts w:cs="仿宋" w:asciiTheme="minorEastAsia" w:hAnsiTheme="minorEastAsia" w:eastAsiaTheme="minorEastAsia"/>
          <w:sz w:val="24"/>
        </w:rPr>
      </w:pPr>
    </w:p>
    <w:p>
      <w:pPr>
        <w:spacing w:line="360" w:lineRule="auto"/>
        <w:jc w:val="both"/>
        <w:rPr>
          <w:rFonts w:cs="仿宋" w:asciiTheme="minorEastAsia" w:hAnsiTheme="minorEastAsia" w:eastAsiaTheme="minorEastAsia"/>
          <w:sz w:val="24"/>
        </w:rPr>
      </w:pPr>
    </w:p>
    <w:p>
      <w:pPr>
        <w:rPr>
          <w:rFonts w:ascii="黑体" w:hAnsi="黑体" w:eastAsia="黑体" w:cs="仿宋"/>
          <w:sz w:val="36"/>
          <w:szCs w:val="36"/>
        </w:rPr>
      </w:pPr>
      <w:r>
        <w:rPr>
          <w:rFonts w:hint="eastAsia" w:ascii="黑体" w:hAnsi="黑体" w:eastAsia="黑体" w:cs="仿宋"/>
          <w:sz w:val="36"/>
          <w:szCs w:val="36"/>
        </w:rPr>
        <w:br w:type="page"/>
      </w:r>
    </w:p>
    <w:p>
      <w:pPr>
        <w:adjustRightInd w:val="0"/>
        <w:snapToGrid w:val="0"/>
        <w:spacing w:line="360" w:lineRule="auto"/>
        <w:jc w:val="center"/>
        <w:rPr>
          <w:rFonts w:ascii="黑体" w:hAnsi="黑体" w:eastAsia="黑体" w:cs="仿宋"/>
          <w:sz w:val="36"/>
          <w:szCs w:val="36"/>
        </w:rPr>
      </w:pPr>
      <w:r>
        <w:rPr>
          <w:rFonts w:hint="eastAsia" w:ascii="黑体" w:hAnsi="黑体" w:eastAsia="黑体" w:cs="仿宋"/>
          <w:sz w:val="36"/>
          <w:szCs w:val="36"/>
        </w:rPr>
        <w:t>六、响应方案</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(一)货物质量标准或技术性能指标的详细描述（可结合第三章“评审办法”和第五章“采购需求”中的要求进行响应）</w:t>
      </w:r>
    </w:p>
    <w:p>
      <w:pPr>
        <w:numPr>
          <w:ilvl w:val="0"/>
          <w:numId w:val="8"/>
        </w:num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技术支持资料（可结合第三章“评审办法”和第五章“采购需求”中的要求进行响应）</w:t>
      </w:r>
    </w:p>
    <w:p>
      <w:pPr>
        <w:numPr>
          <w:ilvl w:val="0"/>
          <w:numId w:val="8"/>
        </w:num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相关服务计划（可结合第三章“评审办法”和第五章“采购需求”中的要求进行响应）</w:t>
      </w:r>
    </w:p>
    <w:p>
      <w:pPr>
        <w:spacing w:line="240" w:lineRule="auto"/>
        <w:rPr>
          <w:rFonts w:ascii="黑体" w:hAnsi="黑体" w:eastAsia="黑体" w:cs="仿宋"/>
          <w:sz w:val="36"/>
          <w:szCs w:val="36"/>
        </w:rPr>
      </w:pPr>
      <w:r>
        <w:rPr>
          <w:rFonts w:hint="eastAsia" w:ascii="黑体" w:hAnsi="黑体" w:eastAsia="黑体" w:cs="仿宋"/>
          <w:sz w:val="36"/>
          <w:szCs w:val="36"/>
        </w:rPr>
        <w:br w:type="page"/>
      </w:r>
    </w:p>
    <w:p>
      <w:pPr>
        <w:spacing w:line="360" w:lineRule="auto"/>
        <w:jc w:val="center"/>
        <w:rPr>
          <w:rFonts w:ascii="黑体" w:hAnsi="黑体" w:eastAsia="黑体" w:cs="仿宋"/>
          <w:sz w:val="36"/>
          <w:szCs w:val="36"/>
        </w:rPr>
      </w:pPr>
      <w:r>
        <w:rPr>
          <w:rFonts w:hint="eastAsia" w:ascii="黑体" w:hAnsi="黑体" w:eastAsia="黑体" w:cs="仿宋"/>
          <w:sz w:val="36"/>
          <w:szCs w:val="36"/>
        </w:rPr>
        <w:t>七、其他资料</w:t>
      </w:r>
    </w:p>
    <w:p>
      <w:pPr>
        <w:adjustRightInd w:val="0"/>
        <w:snapToGrid w:val="0"/>
        <w:spacing w:line="360" w:lineRule="auto"/>
        <w:ind w:left="420" w:leftChars="200"/>
        <w:jc w:val="both"/>
        <w:rPr>
          <w:rFonts w:cs="仿宋" w:asciiTheme="minorEastAsia" w:hAnsiTheme="minorEastAsia" w:eastAsiaTheme="minorEastAsia"/>
          <w:sz w:val="24"/>
        </w:rPr>
      </w:pPr>
    </w:p>
    <w:p>
      <w:pPr>
        <w:adjustRightInd w:val="0"/>
        <w:snapToGrid w:val="0"/>
        <w:spacing w:line="360" w:lineRule="auto"/>
        <w:ind w:left="420" w:leftChars="200"/>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供应商需提交的其他资料。</w:t>
      </w:r>
    </w:p>
    <w:p>
      <w:pPr>
        <w:spacing w:line="360" w:lineRule="auto"/>
        <w:jc w:val="both"/>
        <w:rPr>
          <w:rFonts w:asciiTheme="minorEastAsia" w:hAnsiTheme="minorEastAsia" w:eastAsiaTheme="minorEastAsia"/>
          <w:sz w:val="24"/>
        </w:rPr>
      </w:pPr>
    </w:p>
    <w:sectPr>
      <w:footerReference r:id="rId5" w:type="default"/>
      <w:pgSz w:w="11906" w:h="16838"/>
      <w:pgMar w:top="1440" w:right="1080" w:bottom="1440" w:left="1080" w:header="851" w:footer="1344"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A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体">
    <w:altName w:val="宋体"/>
    <w:panose1 w:val="00000000000000000000"/>
    <w:charset w:val="86"/>
    <w:family w:val="roma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00" w:usb3="00000000" w:csb0="0004009F" w:csb1="DFD70000"/>
  </w:font>
  <w:font w:name="方正仿宋_GBK">
    <w:altName w:val="微软雅黑"/>
    <w:panose1 w:val="03000509000000000000"/>
    <w:charset w:val="86"/>
    <w:family w:val="script"/>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方正小标宋_GBK">
    <w:altName w:val="微软雅黑"/>
    <w:panose1 w:val="02000000000000000000"/>
    <w:charset w:val="86"/>
    <w:family w:val="script"/>
    <w:pitch w:val="default"/>
    <w:sig w:usb0="00000000" w:usb1="00000000" w:usb2="00082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61331"/>
    </w:sdtPr>
    <w:sdtEndPr>
      <w:rPr>
        <w:sz w:val="20"/>
      </w:rPr>
    </w:sdtEndPr>
    <w:sdtContent>
      <w:p>
        <w:pPr>
          <w:pStyle w:val="24"/>
          <w:spacing w:before="120" w:after="120"/>
          <w:jc w:val="center"/>
        </w:pPr>
        <w:r>
          <w:rPr>
            <w:sz w:val="20"/>
          </w:rPr>
          <w:fldChar w:fldCharType="begin"/>
        </w:r>
        <w:r>
          <w:rPr>
            <w:sz w:val="20"/>
          </w:rPr>
          <w:instrText xml:space="preserve"> PAGE   \* MERGEFORMAT </w:instrText>
        </w:r>
        <w:r>
          <w:rPr>
            <w:sz w:val="20"/>
          </w:rPr>
          <w:fldChar w:fldCharType="separate"/>
        </w:r>
        <w:r>
          <w:rPr>
            <w:sz w:val="20"/>
            <w:lang w:val="zh-CN"/>
          </w:rPr>
          <w:t>53</w:t>
        </w:r>
        <w:r>
          <w:rPr>
            <w:sz w:val="20"/>
          </w:rPr>
          <w:fldChar w:fldCharType="end"/>
        </w:r>
      </w:p>
    </w:sdtContent>
  </w:sdt>
  <w:p>
    <w:pPr>
      <w:pStyle w:val="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3F2BA1"/>
    <w:multiLevelType w:val="singleLevel"/>
    <w:tmpl w:val="9E3F2BA1"/>
    <w:lvl w:ilvl="0" w:tentative="0">
      <w:start w:val="1"/>
      <w:numFmt w:val="chineseCounting"/>
      <w:suff w:val="nothing"/>
      <w:lvlText w:val="%1、"/>
      <w:lvlJc w:val="left"/>
      <w:rPr>
        <w:rFonts w:hint="eastAsia"/>
      </w:rPr>
    </w:lvl>
  </w:abstractNum>
  <w:abstractNum w:abstractNumId="1">
    <w:nsid w:val="BE15A2A9"/>
    <w:multiLevelType w:val="singleLevel"/>
    <w:tmpl w:val="BE15A2A9"/>
    <w:lvl w:ilvl="0" w:tentative="0">
      <w:start w:val="2"/>
      <w:numFmt w:val="chineseCounting"/>
      <w:suff w:val="nothing"/>
      <w:lvlText w:val="（%1）"/>
      <w:lvlJc w:val="left"/>
      <w:rPr>
        <w:rFonts w:hint="eastAsia"/>
      </w:rPr>
    </w:lvl>
  </w:abstractNum>
  <w:abstractNum w:abstractNumId="2">
    <w:nsid w:val="DBA4F26E"/>
    <w:multiLevelType w:val="singleLevel"/>
    <w:tmpl w:val="DBA4F26E"/>
    <w:lvl w:ilvl="0" w:tentative="0">
      <w:start w:val="1"/>
      <w:numFmt w:val="decimal"/>
      <w:suff w:val="nothing"/>
      <w:lvlText w:val="（%1）"/>
      <w:lvlJc w:val="left"/>
    </w:lvl>
  </w:abstractNum>
  <w:abstractNum w:abstractNumId="3">
    <w:nsid w:val="03ECED67"/>
    <w:multiLevelType w:val="singleLevel"/>
    <w:tmpl w:val="03ECED67"/>
    <w:lvl w:ilvl="0" w:tentative="0">
      <w:start w:val="4"/>
      <w:numFmt w:val="decimal"/>
      <w:lvlText w:val="%1."/>
      <w:lvlJc w:val="left"/>
      <w:pPr>
        <w:tabs>
          <w:tab w:val="left" w:pos="312"/>
        </w:tabs>
      </w:pPr>
    </w:lvl>
  </w:abstractNum>
  <w:abstractNum w:abstractNumId="4">
    <w:nsid w:val="1F6DBE5D"/>
    <w:multiLevelType w:val="singleLevel"/>
    <w:tmpl w:val="1F6DBE5D"/>
    <w:lvl w:ilvl="0" w:tentative="0">
      <w:start w:val="1"/>
      <w:numFmt w:val="decimal"/>
      <w:lvlText w:val="%1."/>
      <w:lvlJc w:val="left"/>
      <w:pPr>
        <w:tabs>
          <w:tab w:val="left" w:pos="312"/>
        </w:tabs>
      </w:pPr>
    </w:lvl>
  </w:abstractNum>
  <w:abstractNum w:abstractNumId="5">
    <w:nsid w:val="3601A173"/>
    <w:multiLevelType w:val="singleLevel"/>
    <w:tmpl w:val="3601A173"/>
    <w:lvl w:ilvl="0" w:tentative="0">
      <w:start w:val="1"/>
      <w:numFmt w:val="chineseCounting"/>
      <w:suff w:val="nothing"/>
      <w:lvlText w:val="%1、"/>
      <w:lvlJc w:val="left"/>
      <w:rPr>
        <w:rFonts w:hint="eastAsia"/>
      </w:rPr>
    </w:lvl>
  </w:abstractNum>
  <w:abstractNum w:abstractNumId="6">
    <w:nsid w:val="66D66DB2"/>
    <w:multiLevelType w:val="multilevel"/>
    <w:tmpl w:val="66D66DB2"/>
    <w:lvl w:ilvl="0" w:tentative="0">
      <w:start w:val="1"/>
      <w:numFmt w:val="japaneseCounting"/>
      <w:lvlText w:val="第%1章"/>
      <w:lvlJc w:val="left"/>
      <w:pPr>
        <w:ind w:left="1785" w:hanging="17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8A3B3D9"/>
    <w:multiLevelType w:val="singleLevel"/>
    <w:tmpl w:val="68A3B3D9"/>
    <w:lvl w:ilvl="0" w:tentative="0">
      <w:start w:val="1"/>
      <w:numFmt w:val="decimal"/>
      <w:suff w:val="nothing"/>
      <w:lvlText w:val="%1、"/>
      <w:lvlJc w:val="left"/>
    </w:lvl>
  </w:abstractNum>
  <w:num w:numId="1">
    <w:abstractNumId w:val="6"/>
  </w:num>
  <w:num w:numId="2">
    <w:abstractNumId w:val="7"/>
  </w:num>
  <w:num w:numId="3">
    <w:abstractNumId w:val="2"/>
  </w:num>
  <w:num w:numId="4">
    <w:abstractNumId w:val="0"/>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dit="trackedChanges" w:formatting="1" w:enforcement="0"/>
  <w:defaultTabStop w:val="418"/>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iZTJkMTI5N2U4MGJiZDRiODkxNWM3MWY3YzEwNGEifQ=="/>
  </w:docVars>
  <w:rsids>
    <w:rsidRoot w:val="00124EA9"/>
    <w:rsid w:val="000021E0"/>
    <w:rsid w:val="00002637"/>
    <w:rsid w:val="00004047"/>
    <w:rsid w:val="00010F56"/>
    <w:rsid w:val="00024612"/>
    <w:rsid w:val="000277F4"/>
    <w:rsid w:val="00044051"/>
    <w:rsid w:val="00045372"/>
    <w:rsid w:val="00045996"/>
    <w:rsid w:val="00053E1B"/>
    <w:rsid w:val="00077817"/>
    <w:rsid w:val="00080B47"/>
    <w:rsid w:val="000A0047"/>
    <w:rsid w:val="000A524A"/>
    <w:rsid w:val="000A7926"/>
    <w:rsid w:val="000B4936"/>
    <w:rsid w:val="000C487F"/>
    <w:rsid w:val="000C4E44"/>
    <w:rsid w:val="000C5689"/>
    <w:rsid w:val="000D3A07"/>
    <w:rsid w:val="000E5829"/>
    <w:rsid w:val="000F2F60"/>
    <w:rsid w:val="000F3D59"/>
    <w:rsid w:val="000F65C5"/>
    <w:rsid w:val="00101210"/>
    <w:rsid w:val="00124EA9"/>
    <w:rsid w:val="00133753"/>
    <w:rsid w:val="00141200"/>
    <w:rsid w:val="001421A1"/>
    <w:rsid w:val="0014231F"/>
    <w:rsid w:val="001429F5"/>
    <w:rsid w:val="00144A0B"/>
    <w:rsid w:val="00155F5F"/>
    <w:rsid w:val="0016577A"/>
    <w:rsid w:val="00172E5F"/>
    <w:rsid w:val="00175066"/>
    <w:rsid w:val="00186D78"/>
    <w:rsid w:val="001A1831"/>
    <w:rsid w:val="001A77A4"/>
    <w:rsid w:val="001B2C90"/>
    <w:rsid w:val="001B336A"/>
    <w:rsid w:val="001C5831"/>
    <w:rsid w:val="001D03F9"/>
    <w:rsid w:val="001F28D4"/>
    <w:rsid w:val="001F55EE"/>
    <w:rsid w:val="00200C8B"/>
    <w:rsid w:val="0020642B"/>
    <w:rsid w:val="00210B19"/>
    <w:rsid w:val="0021628B"/>
    <w:rsid w:val="00230525"/>
    <w:rsid w:val="00240105"/>
    <w:rsid w:val="00244E9B"/>
    <w:rsid w:val="0026094B"/>
    <w:rsid w:val="00281C9C"/>
    <w:rsid w:val="002832EF"/>
    <w:rsid w:val="0028390B"/>
    <w:rsid w:val="00292A27"/>
    <w:rsid w:val="002A13A6"/>
    <w:rsid w:val="002A3646"/>
    <w:rsid w:val="002A69B8"/>
    <w:rsid w:val="002B225E"/>
    <w:rsid w:val="002B7B11"/>
    <w:rsid w:val="002C2AD4"/>
    <w:rsid w:val="002D3DCC"/>
    <w:rsid w:val="002D460A"/>
    <w:rsid w:val="002E1D5F"/>
    <w:rsid w:val="002F4C12"/>
    <w:rsid w:val="00304624"/>
    <w:rsid w:val="0031048F"/>
    <w:rsid w:val="003220EE"/>
    <w:rsid w:val="003276E9"/>
    <w:rsid w:val="00333AC7"/>
    <w:rsid w:val="003346E3"/>
    <w:rsid w:val="00335C6C"/>
    <w:rsid w:val="00340982"/>
    <w:rsid w:val="00341BE1"/>
    <w:rsid w:val="00343219"/>
    <w:rsid w:val="003536C1"/>
    <w:rsid w:val="00371495"/>
    <w:rsid w:val="00392340"/>
    <w:rsid w:val="003A008A"/>
    <w:rsid w:val="003A21A4"/>
    <w:rsid w:val="003A35E6"/>
    <w:rsid w:val="003A47A2"/>
    <w:rsid w:val="003A7BE3"/>
    <w:rsid w:val="003B1B7D"/>
    <w:rsid w:val="003C0E8A"/>
    <w:rsid w:val="003C71AC"/>
    <w:rsid w:val="003D21CA"/>
    <w:rsid w:val="003D5541"/>
    <w:rsid w:val="003E5FC7"/>
    <w:rsid w:val="003E7A6F"/>
    <w:rsid w:val="004179C4"/>
    <w:rsid w:val="004212E9"/>
    <w:rsid w:val="004213CD"/>
    <w:rsid w:val="004261AA"/>
    <w:rsid w:val="00433E18"/>
    <w:rsid w:val="00445025"/>
    <w:rsid w:val="004477E9"/>
    <w:rsid w:val="004528FC"/>
    <w:rsid w:val="004529AE"/>
    <w:rsid w:val="00464986"/>
    <w:rsid w:val="00470510"/>
    <w:rsid w:val="00474349"/>
    <w:rsid w:val="00477005"/>
    <w:rsid w:val="00480E54"/>
    <w:rsid w:val="00482A85"/>
    <w:rsid w:val="0048561B"/>
    <w:rsid w:val="00494772"/>
    <w:rsid w:val="004A6BC6"/>
    <w:rsid w:val="004B2465"/>
    <w:rsid w:val="004B24C9"/>
    <w:rsid w:val="004B3E4A"/>
    <w:rsid w:val="004D1DCD"/>
    <w:rsid w:val="004D2DC8"/>
    <w:rsid w:val="004D702E"/>
    <w:rsid w:val="004F03C7"/>
    <w:rsid w:val="004F1CF3"/>
    <w:rsid w:val="004F7BD5"/>
    <w:rsid w:val="004F7F0C"/>
    <w:rsid w:val="0050258D"/>
    <w:rsid w:val="0051116B"/>
    <w:rsid w:val="00514DA0"/>
    <w:rsid w:val="00527EEC"/>
    <w:rsid w:val="005307B3"/>
    <w:rsid w:val="005458F8"/>
    <w:rsid w:val="0054718F"/>
    <w:rsid w:val="0055203E"/>
    <w:rsid w:val="0057297F"/>
    <w:rsid w:val="0057563C"/>
    <w:rsid w:val="00580488"/>
    <w:rsid w:val="0058176A"/>
    <w:rsid w:val="005864F4"/>
    <w:rsid w:val="005932FF"/>
    <w:rsid w:val="005A24DF"/>
    <w:rsid w:val="005A70E0"/>
    <w:rsid w:val="005B251E"/>
    <w:rsid w:val="005C4BCE"/>
    <w:rsid w:val="005E5529"/>
    <w:rsid w:val="005F29AC"/>
    <w:rsid w:val="005F3C29"/>
    <w:rsid w:val="005F499C"/>
    <w:rsid w:val="00602185"/>
    <w:rsid w:val="00612206"/>
    <w:rsid w:val="00617F38"/>
    <w:rsid w:val="006417A4"/>
    <w:rsid w:val="006435FD"/>
    <w:rsid w:val="00645395"/>
    <w:rsid w:val="0065638A"/>
    <w:rsid w:val="00656CED"/>
    <w:rsid w:val="00660D70"/>
    <w:rsid w:val="00665B3C"/>
    <w:rsid w:val="00673382"/>
    <w:rsid w:val="00676BDB"/>
    <w:rsid w:val="0068480D"/>
    <w:rsid w:val="00686532"/>
    <w:rsid w:val="00690B7C"/>
    <w:rsid w:val="006A12CE"/>
    <w:rsid w:val="006A499F"/>
    <w:rsid w:val="006B1EC2"/>
    <w:rsid w:val="006B3F31"/>
    <w:rsid w:val="006C735F"/>
    <w:rsid w:val="006D3E72"/>
    <w:rsid w:val="006E037A"/>
    <w:rsid w:val="006E0909"/>
    <w:rsid w:val="006E37CB"/>
    <w:rsid w:val="006E4993"/>
    <w:rsid w:val="006E5C39"/>
    <w:rsid w:val="00702A69"/>
    <w:rsid w:val="007265BE"/>
    <w:rsid w:val="00734D60"/>
    <w:rsid w:val="007555FC"/>
    <w:rsid w:val="007623DE"/>
    <w:rsid w:val="00767FCD"/>
    <w:rsid w:val="00770FF3"/>
    <w:rsid w:val="00771629"/>
    <w:rsid w:val="00773441"/>
    <w:rsid w:val="00773E3D"/>
    <w:rsid w:val="00784672"/>
    <w:rsid w:val="00784F8A"/>
    <w:rsid w:val="00785C21"/>
    <w:rsid w:val="007964EF"/>
    <w:rsid w:val="007B46CB"/>
    <w:rsid w:val="007C2355"/>
    <w:rsid w:val="007C74E8"/>
    <w:rsid w:val="007D0497"/>
    <w:rsid w:val="007D29D4"/>
    <w:rsid w:val="007D3081"/>
    <w:rsid w:val="007E1F23"/>
    <w:rsid w:val="007F3D4A"/>
    <w:rsid w:val="0080745B"/>
    <w:rsid w:val="00822A51"/>
    <w:rsid w:val="00824B55"/>
    <w:rsid w:val="00855A14"/>
    <w:rsid w:val="00867D79"/>
    <w:rsid w:val="008705DF"/>
    <w:rsid w:val="008762E6"/>
    <w:rsid w:val="00883782"/>
    <w:rsid w:val="00892349"/>
    <w:rsid w:val="00892DCC"/>
    <w:rsid w:val="008933B7"/>
    <w:rsid w:val="008950C6"/>
    <w:rsid w:val="00896688"/>
    <w:rsid w:val="008A4531"/>
    <w:rsid w:val="008A6664"/>
    <w:rsid w:val="008B2D72"/>
    <w:rsid w:val="008C623B"/>
    <w:rsid w:val="008F6B51"/>
    <w:rsid w:val="0090589A"/>
    <w:rsid w:val="009315C2"/>
    <w:rsid w:val="00935E41"/>
    <w:rsid w:val="00935ED2"/>
    <w:rsid w:val="0094615C"/>
    <w:rsid w:val="00954F74"/>
    <w:rsid w:val="00955643"/>
    <w:rsid w:val="009573B9"/>
    <w:rsid w:val="00965E94"/>
    <w:rsid w:val="00983877"/>
    <w:rsid w:val="009A1BD2"/>
    <w:rsid w:val="009A24B1"/>
    <w:rsid w:val="009B084E"/>
    <w:rsid w:val="009B5405"/>
    <w:rsid w:val="009B626F"/>
    <w:rsid w:val="009B66AE"/>
    <w:rsid w:val="00A02DDD"/>
    <w:rsid w:val="00A12741"/>
    <w:rsid w:val="00A15750"/>
    <w:rsid w:val="00A2148B"/>
    <w:rsid w:val="00A2462C"/>
    <w:rsid w:val="00A27204"/>
    <w:rsid w:val="00A33D67"/>
    <w:rsid w:val="00A3495C"/>
    <w:rsid w:val="00A3767B"/>
    <w:rsid w:val="00A41388"/>
    <w:rsid w:val="00A477C0"/>
    <w:rsid w:val="00A507DC"/>
    <w:rsid w:val="00A54E02"/>
    <w:rsid w:val="00A67EC8"/>
    <w:rsid w:val="00A81F80"/>
    <w:rsid w:val="00A868EF"/>
    <w:rsid w:val="00A906E2"/>
    <w:rsid w:val="00AA0F15"/>
    <w:rsid w:val="00AD2A48"/>
    <w:rsid w:val="00AD2C8A"/>
    <w:rsid w:val="00AD3732"/>
    <w:rsid w:val="00AD6819"/>
    <w:rsid w:val="00AE15F3"/>
    <w:rsid w:val="00AF4CC2"/>
    <w:rsid w:val="00B01BCC"/>
    <w:rsid w:val="00B25D89"/>
    <w:rsid w:val="00B3664B"/>
    <w:rsid w:val="00B439A9"/>
    <w:rsid w:val="00B4446C"/>
    <w:rsid w:val="00B60605"/>
    <w:rsid w:val="00B63CE5"/>
    <w:rsid w:val="00B64A25"/>
    <w:rsid w:val="00B6591E"/>
    <w:rsid w:val="00B66C84"/>
    <w:rsid w:val="00B80BE7"/>
    <w:rsid w:val="00B82043"/>
    <w:rsid w:val="00B91731"/>
    <w:rsid w:val="00B9193D"/>
    <w:rsid w:val="00B92BED"/>
    <w:rsid w:val="00B938D9"/>
    <w:rsid w:val="00B95169"/>
    <w:rsid w:val="00BA4291"/>
    <w:rsid w:val="00BA6815"/>
    <w:rsid w:val="00BA6DC7"/>
    <w:rsid w:val="00BA783A"/>
    <w:rsid w:val="00BB00AF"/>
    <w:rsid w:val="00BB1B83"/>
    <w:rsid w:val="00BB53FF"/>
    <w:rsid w:val="00BC08B5"/>
    <w:rsid w:val="00BC5446"/>
    <w:rsid w:val="00BD7A21"/>
    <w:rsid w:val="00BF2669"/>
    <w:rsid w:val="00C03C07"/>
    <w:rsid w:val="00C12666"/>
    <w:rsid w:val="00C14B63"/>
    <w:rsid w:val="00C16814"/>
    <w:rsid w:val="00C22565"/>
    <w:rsid w:val="00C52E06"/>
    <w:rsid w:val="00C53A90"/>
    <w:rsid w:val="00C54AC5"/>
    <w:rsid w:val="00C7182C"/>
    <w:rsid w:val="00C80A31"/>
    <w:rsid w:val="00C91C3C"/>
    <w:rsid w:val="00C938B5"/>
    <w:rsid w:val="00C94DBF"/>
    <w:rsid w:val="00CB2271"/>
    <w:rsid w:val="00CB35D3"/>
    <w:rsid w:val="00CE020B"/>
    <w:rsid w:val="00CE71D2"/>
    <w:rsid w:val="00CE7226"/>
    <w:rsid w:val="00CE7D8E"/>
    <w:rsid w:val="00CF36EE"/>
    <w:rsid w:val="00D1160E"/>
    <w:rsid w:val="00D1328D"/>
    <w:rsid w:val="00D26E74"/>
    <w:rsid w:val="00D27461"/>
    <w:rsid w:val="00D30D7D"/>
    <w:rsid w:val="00D32AD3"/>
    <w:rsid w:val="00D35B47"/>
    <w:rsid w:val="00D44DE9"/>
    <w:rsid w:val="00D4514A"/>
    <w:rsid w:val="00D52D42"/>
    <w:rsid w:val="00D5313A"/>
    <w:rsid w:val="00D56D4E"/>
    <w:rsid w:val="00D812B2"/>
    <w:rsid w:val="00D841AD"/>
    <w:rsid w:val="00D86B1B"/>
    <w:rsid w:val="00D90F37"/>
    <w:rsid w:val="00D92EB2"/>
    <w:rsid w:val="00D962D6"/>
    <w:rsid w:val="00DA2E85"/>
    <w:rsid w:val="00DA3A70"/>
    <w:rsid w:val="00DA6572"/>
    <w:rsid w:val="00DB2007"/>
    <w:rsid w:val="00DC3790"/>
    <w:rsid w:val="00DC758D"/>
    <w:rsid w:val="00DD03AC"/>
    <w:rsid w:val="00DD081E"/>
    <w:rsid w:val="00DD63AD"/>
    <w:rsid w:val="00DD7197"/>
    <w:rsid w:val="00DE6CAF"/>
    <w:rsid w:val="00DF2B35"/>
    <w:rsid w:val="00E006FA"/>
    <w:rsid w:val="00E07092"/>
    <w:rsid w:val="00E10A95"/>
    <w:rsid w:val="00E25112"/>
    <w:rsid w:val="00E263FD"/>
    <w:rsid w:val="00E30201"/>
    <w:rsid w:val="00E44E6A"/>
    <w:rsid w:val="00E5145F"/>
    <w:rsid w:val="00E5459C"/>
    <w:rsid w:val="00E61B4A"/>
    <w:rsid w:val="00E65DCA"/>
    <w:rsid w:val="00E828A3"/>
    <w:rsid w:val="00E839E1"/>
    <w:rsid w:val="00E8703F"/>
    <w:rsid w:val="00EA3253"/>
    <w:rsid w:val="00EB2E82"/>
    <w:rsid w:val="00EB3032"/>
    <w:rsid w:val="00EB36F8"/>
    <w:rsid w:val="00EB3D32"/>
    <w:rsid w:val="00EC1A38"/>
    <w:rsid w:val="00EC394D"/>
    <w:rsid w:val="00EC5AF3"/>
    <w:rsid w:val="00EE75AA"/>
    <w:rsid w:val="00F014DF"/>
    <w:rsid w:val="00F067FF"/>
    <w:rsid w:val="00F138CF"/>
    <w:rsid w:val="00F17C9D"/>
    <w:rsid w:val="00F31726"/>
    <w:rsid w:val="00F40991"/>
    <w:rsid w:val="00F449A4"/>
    <w:rsid w:val="00F51761"/>
    <w:rsid w:val="00F51B37"/>
    <w:rsid w:val="00F552F8"/>
    <w:rsid w:val="00F725CC"/>
    <w:rsid w:val="00F76C2C"/>
    <w:rsid w:val="00F86C0E"/>
    <w:rsid w:val="00FA688E"/>
    <w:rsid w:val="00FB7FEC"/>
    <w:rsid w:val="00FC0CDA"/>
    <w:rsid w:val="00FC2557"/>
    <w:rsid w:val="00FC3155"/>
    <w:rsid w:val="00FD0360"/>
    <w:rsid w:val="00FD4D0F"/>
    <w:rsid w:val="00FD78D6"/>
    <w:rsid w:val="00FE3439"/>
    <w:rsid w:val="00FE5003"/>
    <w:rsid w:val="00FF43B1"/>
    <w:rsid w:val="01AC7279"/>
    <w:rsid w:val="02036489"/>
    <w:rsid w:val="027953EF"/>
    <w:rsid w:val="027D365A"/>
    <w:rsid w:val="02C0277D"/>
    <w:rsid w:val="02EE3C38"/>
    <w:rsid w:val="03B31624"/>
    <w:rsid w:val="05271332"/>
    <w:rsid w:val="05725EBF"/>
    <w:rsid w:val="05CF7D72"/>
    <w:rsid w:val="05EF1FFE"/>
    <w:rsid w:val="06C84189"/>
    <w:rsid w:val="071C2DD7"/>
    <w:rsid w:val="08381BDD"/>
    <w:rsid w:val="093D0C63"/>
    <w:rsid w:val="09C6304D"/>
    <w:rsid w:val="0ADD0BC0"/>
    <w:rsid w:val="0AE55C2B"/>
    <w:rsid w:val="0AED2D32"/>
    <w:rsid w:val="0B046716"/>
    <w:rsid w:val="0C0A1AE2"/>
    <w:rsid w:val="0C126BE9"/>
    <w:rsid w:val="0C563A9A"/>
    <w:rsid w:val="0C905B62"/>
    <w:rsid w:val="0D136A19"/>
    <w:rsid w:val="0DB759FC"/>
    <w:rsid w:val="0DED5218"/>
    <w:rsid w:val="0E0905A5"/>
    <w:rsid w:val="0E453DC6"/>
    <w:rsid w:val="0E745939"/>
    <w:rsid w:val="0E891CDE"/>
    <w:rsid w:val="0FA85BC5"/>
    <w:rsid w:val="10993435"/>
    <w:rsid w:val="10B71330"/>
    <w:rsid w:val="110A25CE"/>
    <w:rsid w:val="111972EE"/>
    <w:rsid w:val="11496C09"/>
    <w:rsid w:val="114E2471"/>
    <w:rsid w:val="118F7770"/>
    <w:rsid w:val="119E5E08"/>
    <w:rsid w:val="11A43391"/>
    <w:rsid w:val="1218364A"/>
    <w:rsid w:val="128935AC"/>
    <w:rsid w:val="131B4645"/>
    <w:rsid w:val="139172C8"/>
    <w:rsid w:val="146934C8"/>
    <w:rsid w:val="1485795B"/>
    <w:rsid w:val="14AF403B"/>
    <w:rsid w:val="151676EB"/>
    <w:rsid w:val="15470047"/>
    <w:rsid w:val="16314BAD"/>
    <w:rsid w:val="1645738C"/>
    <w:rsid w:val="167504A0"/>
    <w:rsid w:val="17594306"/>
    <w:rsid w:val="17D539F2"/>
    <w:rsid w:val="18163A09"/>
    <w:rsid w:val="18DE25D3"/>
    <w:rsid w:val="19097045"/>
    <w:rsid w:val="193D0041"/>
    <w:rsid w:val="196B22E9"/>
    <w:rsid w:val="1AB31597"/>
    <w:rsid w:val="1ACB4B33"/>
    <w:rsid w:val="1AD335A1"/>
    <w:rsid w:val="1AF51BB0"/>
    <w:rsid w:val="1B054536"/>
    <w:rsid w:val="1C1A623D"/>
    <w:rsid w:val="1C622511"/>
    <w:rsid w:val="1D051AE0"/>
    <w:rsid w:val="1E1F3B60"/>
    <w:rsid w:val="1E5974FD"/>
    <w:rsid w:val="1EBA1146"/>
    <w:rsid w:val="1F2E0BFF"/>
    <w:rsid w:val="1F605542"/>
    <w:rsid w:val="1FBF76D7"/>
    <w:rsid w:val="203B62F5"/>
    <w:rsid w:val="204131A1"/>
    <w:rsid w:val="212E078A"/>
    <w:rsid w:val="236C6869"/>
    <w:rsid w:val="23F84B49"/>
    <w:rsid w:val="242F2A4A"/>
    <w:rsid w:val="246C2107"/>
    <w:rsid w:val="250315B4"/>
    <w:rsid w:val="26343F0E"/>
    <w:rsid w:val="264E6DB9"/>
    <w:rsid w:val="26952DDB"/>
    <w:rsid w:val="26A05072"/>
    <w:rsid w:val="2872440F"/>
    <w:rsid w:val="293607E6"/>
    <w:rsid w:val="29B3627F"/>
    <w:rsid w:val="2A1E7A1E"/>
    <w:rsid w:val="2A705EA2"/>
    <w:rsid w:val="2AAD1B5F"/>
    <w:rsid w:val="2B1653BE"/>
    <w:rsid w:val="2B3F259D"/>
    <w:rsid w:val="2B595843"/>
    <w:rsid w:val="2BA51DE4"/>
    <w:rsid w:val="2BF10955"/>
    <w:rsid w:val="2C183333"/>
    <w:rsid w:val="2CC97E32"/>
    <w:rsid w:val="2D5E5392"/>
    <w:rsid w:val="2DA23685"/>
    <w:rsid w:val="2E0A7A23"/>
    <w:rsid w:val="2E15122F"/>
    <w:rsid w:val="2E41641E"/>
    <w:rsid w:val="2E944985"/>
    <w:rsid w:val="2F37632C"/>
    <w:rsid w:val="2F700C52"/>
    <w:rsid w:val="2FBC1406"/>
    <w:rsid w:val="2FCF2577"/>
    <w:rsid w:val="2FD26F55"/>
    <w:rsid w:val="30096558"/>
    <w:rsid w:val="304706D9"/>
    <w:rsid w:val="30DE2DAE"/>
    <w:rsid w:val="31880C30"/>
    <w:rsid w:val="323E7977"/>
    <w:rsid w:val="32756EB2"/>
    <w:rsid w:val="3287538B"/>
    <w:rsid w:val="3384029C"/>
    <w:rsid w:val="339248A7"/>
    <w:rsid w:val="34172D2C"/>
    <w:rsid w:val="345E036E"/>
    <w:rsid w:val="345F1E1B"/>
    <w:rsid w:val="34874156"/>
    <w:rsid w:val="35032B89"/>
    <w:rsid w:val="35564DC3"/>
    <w:rsid w:val="357F4DCA"/>
    <w:rsid w:val="35E873EB"/>
    <w:rsid w:val="36127662"/>
    <w:rsid w:val="36A2394F"/>
    <w:rsid w:val="371C6FC1"/>
    <w:rsid w:val="379B30ED"/>
    <w:rsid w:val="37E36BED"/>
    <w:rsid w:val="388518A8"/>
    <w:rsid w:val="398048E2"/>
    <w:rsid w:val="3A246EB8"/>
    <w:rsid w:val="3A99023D"/>
    <w:rsid w:val="3B2B40CB"/>
    <w:rsid w:val="3B387D6E"/>
    <w:rsid w:val="3B5F2D37"/>
    <w:rsid w:val="3B8E00A7"/>
    <w:rsid w:val="3BDA4BC3"/>
    <w:rsid w:val="3C577B7C"/>
    <w:rsid w:val="3CF63839"/>
    <w:rsid w:val="3D42082D"/>
    <w:rsid w:val="3DA1410C"/>
    <w:rsid w:val="3DFD7F15"/>
    <w:rsid w:val="3FA602DD"/>
    <w:rsid w:val="3FAE0246"/>
    <w:rsid w:val="3FB93C81"/>
    <w:rsid w:val="3FC47AA0"/>
    <w:rsid w:val="40510AAE"/>
    <w:rsid w:val="40F96444"/>
    <w:rsid w:val="411E0B85"/>
    <w:rsid w:val="414D154E"/>
    <w:rsid w:val="417774E5"/>
    <w:rsid w:val="419E1DAA"/>
    <w:rsid w:val="41D05CC3"/>
    <w:rsid w:val="41F61BE6"/>
    <w:rsid w:val="42444008"/>
    <w:rsid w:val="427515F9"/>
    <w:rsid w:val="42D24401"/>
    <w:rsid w:val="42DC7E3D"/>
    <w:rsid w:val="42ED2CB2"/>
    <w:rsid w:val="4316634D"/>
    <w:rsid w:val="44815BC4"/>
    <w:rsid w:val="44D14A1F"/>
    <w:rsid w:val="44E67993"/>
    <w:rsid w:val="4503099B"/>
    <w:rsid w:val="453D7EFA"/>
    <w:rsid w:val="455430CC"/>
    <w:rsid w:val="460F3FF1"/>
    <w:rsid w:val="46480423"/>
    <w:rsid w:val="46730E7A"/>
    <w:rsid w:val="46C44BD5"/>
    <w:rsid w:val="46D060B9"/>
    <w:rsid w:val="46FD0ED7"/>
    <w:rsid w:val="47D44A52"/>
    <w:rsid w:val="48425B85"/>
    <w:rsid w:val="48AA639D"/>
    <w:rsid w:val="496A1723"/>
    <w:rsid w:val="49746212"/>
    <w:rsid w:val="49765FAF"/>
    <w:rsid w:val="4A4C2CEB"/>
    <w:rsid w:val="4BB73BE9"/>
    <w:rsid w:val="4BEB2031"/>
    <w:rsid w:val="4C6267F5"/>
    <w:rsid w:val="4C88170F"/>
    <w:rsid w:val="4CFA195C"/>
    <w:rsid w:val="4D662315"/>
    <w:rsid w:val="4DE42C96"/>
    <w:rsid w:val="4E292872"/>
    <w:rsid w:val="4E36772B"/>
    <w:rsid w:val="4E5F0909"/>
    <w:rsid w:val="4E6200BB"/>
    <w:rsid w:val="4EAF2BB4"/>
    <w:rsid w:val="4F392CC6"/>
    <w:rsid w:val="4F433ED1"/>
    <w:rsid w:val="50203001"/>
    <w:rsid w:val="5033341B"/>
    <w:rsid w:val="50662A66"/>
    <w:rsid w:val="50B82E88"/>
    <w:rsid w:val="52097713"/>
    <w:rsid w:val="528648C0"/>
    <w:rsid w:val="54D74426"/>
    <w:rsid w:val="55CB680F"/>
    <w:rsid w:val="55CC1183"/>
    <w:rsid w:val="55E464CD"/>
    <w:rsid w:val="56820D5B"/>
    <w:rsid w:val="57096D7C"/>
    <w:rsid w:val="573C62C8"/>
    <w:rsid w:val="57E449F2"/>
    <w:rsid w:val="57ED4576"/>
    <w:rsid w:val="58523BC2"/>
    <w:rsid w:val="58C34025"/>
    <w:rsid w:val="591E5940"/>
    <w:rsid w:val="59CC354B"/>
    <w:rsid w:val="5A224803"/>
    <w:rsid w:val="5B116A35"/>
    <w:rsid w:val="5B5036AF"/>
    <w:rsid w:val="5BCF1086"/>
    <w:rsid w:val="5BF2503F"/>
    <w:rsid w:val="5DC664B8"/>
    <w:rsid w:val="5DFC1EDA"/>
    <w:rsid w:val="5E007081"/>
    <w:rsid w:val="5E0351E9"/>
    <w:rsid w:val="5FC5301A"/>
    <w:rsid w:val="605065A0"/>
    <w:rsid w:val="61A15F83"/>
    <w:rsid w:val="62525166"/>
    <w:rsid w:val="62E418BB"/>
    <w:rsid w:val="630C1B0D"/>
    <w:rsid w:val="63310F09"/>
    <w:rsid w:val="63B84F56"/>
    <w:rsid w:val="63DE0FC7"/>
    <w:rsid w:val="64E71F99"/>
    <w:rsid w:val="652C05A4"/>
    <w:rsid w:val="658A450D"/>
    <w:rsid w:val="65C941E9"/>
    <w:rsid w:val="66091638"/>
    <w:rsid w:val="663E10C6"/>
    <w:rsid w:val="67DB2C51"/>
    <w:rsid w:val="681B798C"/>
    <w:rsid w:val="683420D1"/>
    <w:rsid w:val="68562B5B"/>
    <w:rsid w:val="686B311E"/>
    <w:rsid w:val="687B1158"/>
    <w:rsid w:val="68BC1649"/>
    <w:rsid w:val="68E43F44"/>
    <w:rsid w:val="68E96D74"/>
    <w:rsid w:val="6A1F3F21"/>
    <w:rsid w:val="6AD96BB0"/>
    <w:rsid w:val="6B533C17"/>
    <w:rsid w:val="6DCF116C"/>
    <w:rsid w:val="6E444548"/>
    <w:rsid w:val="6F3C2A7E"/>
    <w:rsid w:val="6F887A72"/>
    <w:rsid w:val="6FD45398"/>
    <w:rsid w:val="6FEC6252"/>
    <w:rsid w:val="6FFE3B30"/>
    <w:rsid w:val="70BE1BEC"/>
    <w:rsid w:val="711C02E6"/>
    <w:rsid w:val="71A737C1"/>
    <w:rsid w:val="722666BE"/>
    <w:rsid w:val="72FA0FD7"/>
    <w:rsid w:val="73BC5AD9"/>
    <w:rsid w:val="74CF1C9F"/>
    <w:rsid w:val="7503646F"/>
    <w:rsid w:val="751D0954"/>
    <w:rsid w:val="755503F6"/>
    <w:rsid w:val="7580654E"/>
    <w:rsid w:val="75A26264"/>
    <w:rsid w:val="764D1C01"/>
    <w:rsid w:val="767D333F"/>
    <w:rsid w:val="76EB2555"/>
    <w:rsid w:val="78BC7172"/>
    <w:rsid w:val="795F0275"/>
    <w:rsid w:val="79CD482B"/>
    <w:rsid w:val="79E04A48"/>
    <w:rsid w:val="7C8C4B5A"/>
    <w:rsid w:val="7CC34D55"/>
    <w:rsid w:val="7CED7166"/>
    <w:rsid w:val="7D9D4CFC"/>
    <w:rsid w:val="7DB1356C"/>
    <w:rsid w:val="7DB3215D"/>
    <w:rsid w:val="7DFC043A"/>
    <w:rsid w:val="7FD73A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uiPriority="0" w:name="annotation reference"/>
    <w:lsdException w:uiPriority="99" w:name="line number"/>
    <w:lsdException w:qFormat="1" w:unhideWhenUsed="0" w:uiPriority="99" w:semiHidden="0" w:name="page number"/>
    <w:lsdException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exact"/>
    </w:pPr>
    <w:rPr>
      <w:rFonts w:ascii="Times New Roman" w:hAnsi="Times New Roman" w:eastAsia="宋体" w:cs="Times New Roman"/>
      <w:kern w:val="2"/>
      <w:sz w:val="21"/>
      <w:szCs w:val="24"/>
      <w:lang w:val="en-US" w:eastAsia="zh-CN" w:bidi="ar-SA"/>
    </w:rPr>
  </w:style>
  <w:style w:type="paragraph" w:styleId="3">
    <w:name w:val="heading 1"/>
    <w:basedOn w:val="1"/>
    <w:next w:val="4"/>
    <w:link w:val="48"/>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49"/>
    <w:qFormat/>
    <w:uiPriority w:val="0"/>
    <w:pPr>
      <w:spacing w:before="100" w:beforeAutospacing="1" w:after="100" w:afterAutospacing="1"/>
      <w:outlineLvl w:val="1"/>
    </w:pPr>
    <w:rPr>
      <w:rFonts w:ascii="宋体" w:hAnsi="宋体"/>
      <w:b/>
      <w:bCs/>
      <w:kern w:val="0"/>
      <w:sz w:val="36"/>
      <w:szCs w:val="36"/>
    </w:rPr>
  </w:style>
  <w:style w:type="paragraph" w:styleId="6">
    <w:name w:val="heading 4"/>
    <w:basedOn w:val="1"/>
    <w:next w:val="1"/>
    <w:link w:val="184"/>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41">
    <w:name w:val="Default Paragraph Font"/>
    <w:semiHidden/>
    <w:unhideWhenUsed/>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4">
    <w:name w:val="Body Text First Indent 2"/>
    <w:basedOn w:val="5"/>
    <w:qFormat/>
    <w:uiPriority w:val="0"/>
    <w:pPr>
      <w:spacing w:line="300" w:lineRule="auto"/>
      <w:ind w:firstLine="200" w:firstLineChars="200"/>
    </w:pPr>
    <w:rPr>
      <w:sz w:val="24"/>
      <w:szCs w:val="24"/>
    </w:rPr>
  </w:style>
  <w:style w:type="paragraph" w:styleId="5">
    <w:name w:val="Body Text Indent"/>
    <w:basedOn w:val="1"/>
    <w:unhideWhenUsed/>
    <w:qFormat/>
    <w:uiPriority w:val="0"/>
    <w:pPr>
      <w:spacing w:line="480" w:lineRule="atLeast"/>
      <w:ind w:firstLine="540"/>
    </w:pPr>
    <w:rPr>
      <w:rFonts w:ascii="仿宋体" w:eastAsia="仿宋体"/>
      <w:sz w:val="28"/>
      <w:szCs w:val="20"/>
    </w:rPr>
  </w:style>
  <w:style w:type="paragraph" w:styleId="7">
    <w:name w:val="index 8"/>
    <w:basedOn w:val="1"/>
    <w:next w:val="1"/>
    <w:qFormat/>
    <w:uiPriority w:val="0"/>
    <w:pPr>
      <w:ind w:left="1680" w:hanging="210"/>
    </w:pPr>
    <w:rPr>
      <w:rFonts w:ascii="Calibri" w:hAnsi="Calibri"/>
      <w:sz w:val="20"/>
      <w:szCs w:val="20"/>
    </w:rPr>
  </w:style>
  <w:style w:type="paragraph" w:styleId="8">
    <w:name w:val="Normal Indent"/>
    <w:basedOn w:val="1"/>
    <w:qFormat/>
    <w:uiPriority w:val="0"/>
    <w:pPr>
      <w:spacing w:line="400" w:lineRule="exact"/>
      <w:ind w:firstLine="420"/>
    </w:pPr>
    <w:rPr>
      <w:rFonts w:ascii="Arial Narrow" w:hAnsi="Arial Narrow" w:eastAsia="华文细黑"/>
      <w:sz w:val="24"/>
      <w:szCs w:val="20"/>
    </w:rPr>
  </w:style>
  <w:style w:type="paragraph" w:styleId="9">
    <w:name w:val="caption"/>
    <w:basedOn w:val="1"/>
    <w:next w:val="1"/>
    <w:qFormat/>
    <w:uiPriority w:val="0"/>
    <w:pPr>
      <w:spacing w:before="152" w:after="160"/>
    </w:pPr>
    <w:rPr>
      <w:rFonts w:ascii="Arial" w:hAnsi="Arial" w:eastAsia="黑体" w:cs="Arial"/>
      <w:sz w:val="20"/>
      <w:szCs w:val="20"/>
    </w:rPr>
  </w:style>
  <w:style w:type="paragraph" w:styleId="10">
    <w:name w:val="index 5"/>
    <w:basedOn w:val="1"/>
    <w:next w:val="1"/>
    <w:qFormat/>
    <w:uiPriority w:val="0"/>
    <w:pPr>
      <w:ind w:left="1050" w:hanging="210"/>
    </w:pPr>
    <w:rPr>
      <w:rFonts w:ascii="Calibri" w:hAnsi="Calibri"/>
      <w:sz w:val="20"/>
      <w:szCs w:val="20"/>
    </w:rPr>
  </w:style>
  <w:style w:type="paragraph" w:styleId="11">
    <w:name w:val="Document Map"/>
    <w:basedOn w:val="1"/>
    <w:link w:val="169"/>
    <w:semiHidden/>
    <w:qFormat/>
    <w:uiPriority w:val="0"/>
    <w:pPr>
      <w:shd w:val="clear" w:color="auto" w:fill="000080"/>
    </w:pPr>
    <w:rPr>
      <w:rFonts w:asciiTheme="minorHAnsi" w:hAnsiTheme="minorHAnsi" w:eastAsiaTheme="minorEastAsia" w:cstheme="minorBidi"/>
    </w:rPr>
  </w:style>
  <w:style w:type="paragraph" w:styleId="12">
    <w:name w:val="annotation text"/>
    <w:basedOn w:val="1"/>
    <w:link w:val="166"/>
    <w:semiHidden/>
    <w:qFormat/>
    <w:uiPriority w:val="0"/>
    <w:rPr>
      <w:rFonts w:asciiTheme="minorHAnsi" w:hAnsiTheme="minorHAnsi" w:eastAsiaTheme="minorEastAsia" w:cstheme="minorBidi"/>
    </w:rPr>
  </w:style>
  <w:style w:type="paragraph" w:styleId="13">
    <w:name w:val="index 6"/>
    <w:basedOn w:val="1"/>
    <w:next w:val="1"/>
    <w:qFormat/>
    <w:uiPriority w:val="0"/>
    <w:pPr>
      <w:ind w:left="1260" w:hanging="210"/>
    </w:pPr>
    <w:rPr>
      <w:rFonts w:ascii="Calibri" w:hAnsi="Calibri"/>
      <w:sz w:val="20"/>
      <w:szCs w:val="20"/>
    </w:rPr>
  </w:style>
  <w:style w:type="paragraph" w:styleId="14">
    <w:name w:val="Body Text 3"/>
    <w:basedOn w:val="1"/>
    <w:link w:val="177"/>
    <w:semiHidden/>
    <w:unhideWhenUsed/>
    <w:qFormat/>
    <w:uiPriority w:val="99"/>
    <w:pPr>
      <w:spacing w:after="120"/>
    </w:pPr>
    <w:rPr>
      <w:sz w:val="16"/>
      <w:szCs w:val="16"/>
    </w:rPr>
  </w:style>
  <w:style w:type="paragraph" w:styleId="15">
    <w:name w:val="Body Text"/>
    <w:basedOn w:val="1"/>
    <w:next w:val="16"/>
    <w:link w:val="182"/>
    <w:semiHidden/>
    <w:unhideWhenUsed/>
    <w:qFormat/>
    <w:uiPriority w:val="99"/>
    <w:pPr>
      <w:spacing w:after="120"/>
    </w:pPr>
  </w:style>
  <w:style w:type="paragraph" w:customStyle="1" w:styleId="16">
    <w:name w:val="Default"/>
    <w:basedOn w:val="1"/>
    <w:qFormat/>
    <w:uiPriority w:val="0"/>
    <w:pPr>
      <w:widowControl w:val="0"/>
      <w:autoSpaceDE w:val="0"/>
      <w:autoSpaceDN w:val="0"/>
      <w:adjustRightInd w:val="0"/>
      <w:spacing w:line="240" w:lineRule="auto"/>
    </w:pPr>
    <w:rPr>
      <w:rFonts w:ascii="黑体" w:hAnsi="黑体" w:eastAsia="黑体" w:cs="宋体"/>
      <w:kern w:val="0"/>
      <w:sz w:val="24"/>
    </w:rPr>
  </w:style>
  <w:style w:type="paragraph" w:styleId="17">
    <w:name w:val="index 4"/>
    <w:basedOn w:val="1"/>
    <w:next w:val="1"/>
    <w:qFormat/>
    <w:uiPriority w:val="0"/>
    <w:pPr>
      <w:ind w:left="840" w:hanging="210"/>
    </w:pPr>
    <w:rPr>
      <w:rFonts w:ascii="Calibri" w:hAnsi="Calibri"/>
      <w:sz w:val="20"/>
      <w:szCs w:val="20"/>
    </w:rPr>
  </w:style>
  <w:style w:type="paragraph" w:styleId="18">
    <w:name w:val="Plain Text"/>
    <w:basedOn w:val="1"/>
    <w:link w:val="180"/>
    <w:unhideWhenUsed/>
    <w:qFormat/>
    <w:uiPriority w:val="99"/>
    <w:pPr>
      <w:widowControl w:val="0"/>
      <w:spacing w:line="240" w:lineRule="auto"/>
      <w:jc w:val="both"/>
    </w:pPr>
    <w:rPr>
      <w:rFonts w:ascii="宋体" w:hAnsi="Courier New" w:cs="Courier New"/>
      <w:szCs w:val="21"/>
    </w:rPr>
  </w:style>
  <w:style w:type="paragraph" w:styleId="19">
    <w:name w:val="index 3"/>
    <w:basedOn w:val="1"/>
    <w:next w:val="1"/>
    <w:qFormat/>
    <w:uiPriority w:val="0"/>
    <w:pPr>
      <w:ind w:left="630" w:hanging="210"/>
    </w:pPr>
    <w:rPr>
      <w:rFonts w:ascii="Calibri" w:hAnsi="Calibri"/>
      <w:sz w:val="20"/>
      <w:szCs w:val="20"/>
    </w:rPr>
  </w:style>
  <w:style w:type="paragraph" w:styleId="20">
    <w:name w:val="Date"/>
    <w:basedOn w:val="1"/>
    <w:next w:val="1"/>
    <w:link w:val="168"/>
    <w:qFormat/>
    <w:uiPriority w:val="99"/>
    <w:pPr>
      <w:ind w:left="100" w:leftChars="2500"/>
    </w:pPr>
    <w:rPr>
      <w:rFonts w:asciiTheme="minorHAnsi" w:hAnsiTheme="minorHAnsi" w:eastAsiaTheme="minorEastAsia" w:cstheme="minorBidi"/>
    </w:rPr>
  </w:style>
  <w:style w:type="paragraph" w:styleId="21">
    <w:name w:val="Body Text Indent 2"/>
    <w:basedOn w:val="1"/>
    <w:link w:val="158"/>
    <w:qFormat/>
    <w:uiPriority w:val="99"/>
    <w:pPr>
      <w:spacing w:after="120" w:line="480" w:lineRule="auto"/>
      <w:ind w:left="420" w:leftChars="200"/>
    </w:pPr>
    <w:rPr>
      <w:rFonts w:asciiTheme="minorHAnsi" w:hAnsiTheme="minorHAnsi" w:eastAsiaTheme="minorEastAsia" w:cstheme="minorBidi"/>
    </w:rPr>
  </w:style>
  <w:style w:type="paragraph" w:styleId="22">
    <w:name w:val="endnote text"/>
    <w:basedOn w:val="1"/>
    <w:link w:val="175"/>
    <w:semiHidden/>
    <w:qFormat/>
    <w:uiPriority w:val="0"/>
    <w:pPr>
      <w:snapToGrid w:val="0"/>
    </w:pPr>
    <w:rPr>
      <w:rFonts w:asciiTheme="minorHAnsi" w:hAnsiTheme="minorHAnsi" w:eastAsiaTheme="minorEastAsia" w:cstheme="minorBidi"/>
    </w:rPr>
  </w:style>
  <w:style w:type="paragraph" w:styleId="23">
    <w:name w:val="Balloon Text"/>
    <w:basedOn w:val="1"/>
    <w:link w:val="144"/>
    <w:qFormat/>
    <w:uiPriority w:val="99"/>
    <w:rPr>
      <w:rFonts w:asciiTheme="minorHAnsi" w:hAnsiTheme="minorHAnsi" w:eastAsiaTheme="minorEastAsia" w:cstheme="minorBidi"/>
      <w:sz w:val="18"/>
      <w:szCs w:val="18"/>
    </w:rPr>
  </w:style>
  <w:style w:type="paragraph" w:styleId="24">
    <w:name w:val="footer"/>
    <w:basedOn w:val="1"/>
    <w:link w:val="165"/>
    <w:qFormat/>
    <w:uiPriority w:val="99"/>
    <w:pPr>
      <w:snapToGrid w:val="0"/>
      <w:ind w:right="210" w:rightChars="100"/>
      <w:jc w:val="right"/>
    </w:pPr>
    <w:rPr>
      <w:rFonts w:asciiTheme="minorHAnsi" w:hAnsiTheme="minorHAnsi" w:eastAsiaTheme="minorEastAsia" w:cstheme="minorBidi"/>
      <w:sz w:val="18"/>
      <w:szCs w:val="18"/>
    </w:rPr>
  </w:style>
  <w:style w:type="paragraph" w:styleId="25">
    <w:name w:val="header"/>
    <w:basedOn w:val="1"/>
    <w:link w:val="147"/>
    <w:qFormat/>
    <w:uiPriority w:val="99"/>
    <w:pPr>
      <w:snapToGrid w:val="0"/>
    </w:pPr>
    <w:rPr>
      <w:rFonts w:asciiTheme="minorHAnsi" w:hAnsiTheme="minorHAnsi" w:eastAsiaTheme="minorEastAsia" w:cstheme="minorBidi"/>
      <w:sz w:val="18"/>
      <w:szCs w:val="18"/>
    </w:rPr>
  </w:style>
  <w:style w:type="paragraph" w:styleId="26">
    <w:name w:val="toc 1"/>
    <w:basedOn w:val="1"/>
    <w:next w:val="1"/>
    <w:semiHidden/>
    <w:qFormat/>
    <w:uiPriority w:val="0"/>
    <w:pPr>
      <w:tabs>
        <w:tab w:val="right" w:leader="dot" w:pos="9242"/>
      </w:tabs>
      <w:spacing w:beforeLines="25" w:afterLines="25"/>
    </w:pPr>
    <w:rPr>
      <w:rFonts w:ascii="宋体"/>
      <w:szCs w:val="21"/>
    </w:rPr>
  </w:style>
  <w:style w:type="paragraph" w:styleId="27">
    <w:name w:val="index heading"/>
    <w:basedOn w:val="1"/>
    <w:next w:val="28"/>
    <w:qFormat/>
    <w:uiPriority w:val="0"/>
    <w:pPr>
      <w:spacing w:before="120" w:after="120"/>
      <w:jc w:val="center"/>
    </w:pPr>
    <w:rPr>
      <w:rFonts w:ascii="Calibri" w:hAnsi="Calibri"/>
      <w:b/>
      <w:bCs/>
      <w:iCs/>
      <w:szCs w:val="20"/>
    </w:rPr>
  </w:style>
  <w:style w:type="paragraph" w:styleId="28">
    <w:name w:val="index 1"/>
    <w:basedOn w:val="1"/>
    <w:next w:val="1"/>
    <w:unhideWhenUsed/>
    <w:qFormat/>
    <w:uiPriority w:val="0"/>
  </w:style>
  <w:style w:type="paragraph" w:styleId="29">
    <w:name w:val="footnote text"/>
    <w:basedOn w:val="1"/>
    <w:link w:val="154"/>
    <w:qFormat/>
    <w:uiPriority w:val="0"/>
    <w:pPr>
      <w:tabs>
        <w:tab w:val="left" w:pos="0"/>
      </w:tabs>
      <w:snapToGrid w:val="0"/>
      <w:ind w:left="720" w:hanging="357"/>
    </w:pPr>
    <w:rPr>
      <w:rFonts w:ascii="宋体" w:hAnsiTheme="minorHAnsi" w:eastAsiaTheme="minorEastAsia" w:cstheme="minorBidi"/>
      <w:sz w:val="18"/>
      <w:szCs w:val="18"/>
    </w:rPr>
  </w:style>
  <w:style w:type="paragraph" w:styleId="30">
    <w:name w:val="index 7"/>
    <w:basedOn w:val="1"/>
    <w:next w:val="1"/>
    <w:qFormat/>
    <w:uiPriority w:val="0"/>
    <w:pPr>
      <w:ind w:left="1470" w:hanging="210"/>
    </w:pPr>
    <w:rPr>
      <w:rFonts w:ascii="Calibri" w:hAnsi="Calibri"/>
      <w:sz w:val="20"/>
      <w:szCs w:val="20"/>
    </w:rPr>
  </w:style>
  <w:style w:type="paragraph" w:styleId="31">
    <w:name w:val="index 9"/>
    <w:basedOn w:val="1"/>
    <w:next w:val="1"/>
    <w:qFormat/>
    <w:uiPriority w:val="0"/>
    <w:pPr>
      <w:ind w:left="1890" w:hanging="210"/>
    </w:pPr>
    <w:rPr>
      <w:rFonts w:ascii="Calibri" w:hAnsi="Calibri"/>
      <w:sz w:val="20"/>
      <w:szCs w:val="20"/>
    </w:rPr>
  </w:style>
  <w:style w:type="paragraph" w:styleId="32">
    <w:name w:val="toc 2"/>
    <w:next w:val="1"/>
    <w:qFormat/>
    <w:uiPriority w:val="39"/>
    <w:pPr>
      <w:spacing w:after="6" w:line="257" w:lineRule="auto"/>
      <w:ind w:left="430" w:right="61" w:hanging="10"/>
      <w:jc w:val="both"/>
    </w:pPr>
    <w:rPr>
      <w:rFonts w:ascii="Calibri" w:hAnsi="Calibri" w:eastAsia="Calibri" w:cs="Calibri"/>
      <w:color w:val="000000"/>
      <w:kern w:val="2"/>
      <w:sz w:val="21"/>
      <w:szCs w:val="22"/>
      <w:lang w:val="en-US" w:eastAsia="zh-CN" w:bidi="ar-SA"/>
    </w:rPr>
  </w:style>
  <w:style w:type="paragraph" w:styleId="33">
    <w:name w:val="HTML Preformatted"/>
    <w:basedOn w:val="1"/>
    <w:link w:val="152"/>
    <w:qFormat/>
    <w:uiPriority w:val="0"/>
    <w:rPr>
      <w:rFonts w:ascii="Courier New" w:hAnsi="Courier New" w:cs="Courier New" w:eastAsiaTheme="minorEastAsia"/>
      <w:szCs w:val="22"/>
    </w:rPr>
  </w:style>
  <w:style w:type="paragraph" w:styleId="34">
    <w:name w:val="Normal (Web)"/>
    <w:basedOn w:val="1"/>
    <w:unhideWhenUsed/>
    <w:qFormat/>
    <w:uiPriority w:val="99"/>
    <w:pPr>
      <w:spacing w:before="100" w:beforeAutospacing="1" w:after="100" w:afterAutospacing="1"/>
    </w:pPr>
    <w:rPr>
      <w:rFonts w:ascii="宋体" w:hAnsi="宋体" w:cs="宋体"/>
      <w:kern w:val="0"/>
      <w:sz w:val="24"/>
    </w:rPr>
  </w:style>
  <w:style w:type="paragraph" w:styleId="35">
    <w:name w:val="index 2"/>
    <w:basedOn w:val="1"/>
    <w:next w:val="1"/>
    <w:qFormat/>
    <w:uiPriority w:val="0"/>
    <w:pPr>
      <w:ind w:left="420" w:hanging="210"/>
    </w:pPr>
    <w:rPr>
      <w:rFonts w:ascii="Calibri" w:hAnsi="Calibri"/>
      <w:sz w:val="20"/>
      <w:szCs w:val="20"/>
    </w:rPr>
  </w:style>
  <w:style w:type="paragraph" w:styleId="36">
    <w:name w:val="Title"/>
    <w:basedOn w:val="1"/>
    <w:link w:val="178"/>
    <w:qFormat/>
    <w:uiPriority w:val="0"/>
    <w:pPr>
      <w:widowControl w:val="0"/>
      <w:adjustRightInd w:val="0"/>
      <w:spacing w:before="240" w:after="60" w:line="420" w:lineRule="atLeast"/>
      <w:jc w:val="center"/>
      <w:textAlignment w:val="baseline"/>
      <w:outlineLvl w:val="0"/>
    </w:pPr>
    <w:rPr>
      <w:rFonts w:ascii="Arial" w:hAnsi="Arial"/>
      <w:b/>
      <w:kern w:val="0"/>
      <w:sz w:val="32"/>
      <w:szCs w:val="20"/>
    </w:rPr>
  </w:style>
  <w:style w:type="paragraph" w:styleId="37">
    <w:name w:val="annotation subject"/>
    <w:basedOn w:val="12"/>
    <w:next w:val="12"/>
    <w:link w:val="174"/>
    <w:semiHidden/>
    <w:qFormat/>
    <w:uiPriority w:val="0"/>
    <w:rPr>
      <w:b/>
      <w:bCs/>
    </w:rPr>
  </w:style>
  <w:style w:type="paragraph" w:styleId="38">
    <w:name w:val="Body Text First Indent"/>
    <w:basedOn w:val="15"/>
    <w:qFormat/>
    <w:uiPriority w:val="0"/>
    <w:pPr>
      <w:adjustRightInd w:val="0"/>
      <w:snapToGrid w:val="0"/>
      <w:ind w:firstLine="420"/>
      <w:textAlignment w:val="baseline"/>
    </w:pPr>
    <w:rPr>
      <w:rFonts w:ascii="宋体"/>
      <w:snapToGrid w:val="0"/>
      <w:kern w:val="24"/>
      <w:sz w:val="24"/>
      <w:szCs w:val="20"/>
    </w:rPr>
  </w:style>
  <w:style w:type="table" w:styleId="40">
    <w:name w:val="Table Grid"/>
    <w:basedOn w:val="3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qFormat/>
    <w:uiPriority w:val="22"/>
    <w:rPr>
      <w:b/>
      <w:bCs/>
    </w:rPr>
  </w:style>
  <w:style w:type="character" w:styleId="43">
    <w:name w:val="page number"/>
    <w:qFormat/>
    <w:uiPriority w:val="99"/>
    <w:rPr>
      <w:rFonts w:ascii="Times New Roman" w:hAnsi="Times New Roman" w:eastAsia="宋体"/>
      <w:sz w:val="18"/>
    </w:rPr>
  </w:style>
  <w:style w:type="character" w:styleId="44">
    <w:name w:val="FollowedHyperlink"/>
    <w:qFormat/>
    <w:uiPriority w:val="0"/>
    <w:rPr>
      <w:color w:val="800080"/>
      <w:u w:val="single"/>
    </w:rPr>
  </w:style>
  <w:style w:type="character" w:styleId="45">
    <w:name w:val="Emphasis"/>
    <w:qFormat/>
    <w:uiPriority w:val="20"/>
    <w:rPr>
      <w:color w:val="CC0000"/>
    </w:rPr>
  </w:style>
  <w:style w:type="character" w:styleId="46">
    <w:name w:val="Hyperlink"/>
    <w:qFormat/>
    <w:uiPriority w:val="99"/>
    <w:rPr>
      <w:color w:val="0000FF"/>
      <w:spacing w:val="0"/>
      <w:w w:val="100"/>
      <w:szCs w:val="21"/>
      <w:u w:val="single"/>
      <w:lang w:val="en-US" w:eastAsia="zh-CN"/>
    </w:rPr>
  </w:style>
  <w:style w:type="character" w:styleId="47">
    <w:name w:val="footnote reference"/>
    <w:qFormat/>
    <w:uiPriority w:val="0"/>
    <w:rPr>
      <w:vertAlign w:val="superscript"/>
    </w:rPr>
  </w:style>
  <w:style w:type="character" w:customStyle="1" w:styleId="48">
    <w:name w:val="标题 1 Char"/>
    <w:basedOn w:val="41"/>
    <w:link w:val="3"/>
    <w:qFormat/>
    <w:uiPriority w:val="0"/>
    <w:rPr>
      <w:rFonts w:ascii="Times New Roman" w:hAnsi="Times New Roman" w:eastAsia="宋体" w:cs="Times New Roman"/>
      <w:b/>
      <w:bCs/>
      <w:kern w:val="44"/>
      <w:sz w:val="44"/>
      <w:szCs w:val="44"/>
    </w:rPr>
  </w:style>
  <w:style w:type="character" w:customStyle="1" w:styleId="49">
    <w:name w:val="标题 2 Char"/>
    <w:basedOn w:val="41"/>
    <w:link w:val="2"/>
    <w:qFormat/>
    <w:uiPriority w:val="0"/>
    <w:rPr>
      <w:rFonts w:ascii="宋体" w:hAnsi="宋体" w:eastAsia="宋体" w:cs="Times New Roman"/>
      <w:b/>
      <w:bCs/>
      <w:kern w:val="0"/>
      <w:sz w:val="36"/>
      <w:szCs w:val="36"/>
    </w:rPr>
  </w:style>
  <w:style w:type="character" w:customStyle="1" w:styleId="50">
    <w:name w:val="批注文字 Char"/>
    <w:semiHidden/>
    <w:qFormat/>
    <w:uiPriority w:val="0"/>
    <w:rPr>
      <w:szCs w:val="24"/>
    </w:rPr>
  </w:style>
  <w:style w:type="character" w:customStyle="1" w:styleId="51">
    <w:name w:val="批注主题 Char"/>
    <w:semiHidden/>
    <w:qFormat/>
    <w:uiPriority w:val="0"/>
    <w:rPr>
      <w:b/>
      <w:bCs/>
      <w:szCs w:val="24"/>
    </w:rPr>
  </w:style>
  <w:style w:type="character" w:customStyle="1" w:styleId="52">
    <w:name w:val="文档结构图 Char"/>
    <w:semiHidden/>
    <w:qFormat/>
    <w:uiPriority w:val="0"/>
    <w:rPr>
      <w:szCs w:val="24"/>
      <w:shd w:val="clear" w:color="auto" w:fill="000080"/>
    </w:rPr>
  </w:style>
  <w:style w:type="character" w:customStyle="1" w:styleId="53">
    <w:name w:val="脚注文本 Char"/>
    <w:qFormat/>
    <w:uiPriority w:val="0"/>
    <w:rPr>
      <w:rFonts w:ascii="宋体"/>
      <w:sz w:val="18"/>
      <w:szCs w:val="18"/>
    </w:rPr>
  </w:style>
  <w:style w:type="character" w:customStyle="1" w:styleId="54">
    <w:name w:val="con"/>
    <w:qFormat/>
    <w:uiPriority w:val="0"/>
  </w:style>
  <w:style w:type="character" w:customStyle="1" w:styleId="55">
    <w:name w:val="bar-label2"/>
    <w:qFormat/>
    <w:uiPriority w:val="99"/>
  </w:style>
  <w:style w:type="character" w:customStyle="1" w:styleId="56">
    <w:name w:val="正文文本缩进 2 Char"/>
    <w:qFormat/>
    <w:uiPriority w:val="99"/>
    <w:rPr>
      <w:szCs w:val="24"/>
    </w:rPr>
  </w:style>
  <w:style w:type="character" w:customStyle="1" w:styleId="57">
    <w:name w:val="日期 Char"/>
    <w:qFormat/>
    <w:uiPriority w:val="99"/>
    <w:rPr>
      <w:szCs w:val="24"/>
    </w:rPr>
  </w:style>
  <w:style w:type="character" w:customStyle="1" w:styleId="58">
    <w:name w:val="页脚 Char"/>
    <w:qFormat/>
    <w:locked/>
    <w:uiPriority w:val="99"/>
    <w:rPr>
      <w:sz w:val="18"/>
      <w:szCs w:val="18"/>
    </w:rPr>
  </w:style>
  <w:style w:type="character" w:customStyle="1" w:styleId="59">
    <w:name w:val="apple-converted-space"/>
    <w:basedOn w:val="41"/>
    <w:qFormat/>
    <w:uiPriority w:val="0"/>
  </w:style>
  <w:style w:type="character" w:customStyle="1" w:styleId="60">
    <w:name w:val="批注框文本 Char"/>
    <w:qFormat/>
    <w:uiPriority w:val="99"/>
    <w:rPr>
      <w:sz w:val="18"/>
      <w:szCs w:val="18"/>
    </w:rPr>
  </w:style>
  <w:style w:type="character" w:customStyle="1" w:styleId="61">
    <w:name w:val="页眉 Char"/>
    <w:qFormat/>
    <w:locked/>
    <w:uiPriority w:val="99"/>
    <w:rPr>
      <w:sz w:val="18"/>
      <w:szCs w:val="18"/>
    </w:rPr>
  </w:style>
  <w:style w:type="character" w:customStyle="1" w:styleId="62">
    <w:name w:val="首示例 Char"/>
    <w:link w:val="63"/>
    <w:qFormat/>
    <w:uiPriority w:val="0"/>
    <w:rPr>
      <w:rFonts w:ascii="宋体" w:hAnsi="宋体"/>
      <w:sz w:val="18"/>
      <w:szCs w:val="18"/>
    </w:rPr>
  </w:style>
  <w:style w:type="paragraph" w:customStyle="1" w:styleId="63">
    <w:name w:val="首示例"/>
    <w:next w:val="64"/>
    <w:link w:val="62"/>
    <w:qFormat/>
    <w:uiPriority w:val="0"/>
    <w:pPr>
      <w:tabs>
        <w:tab w:val="left" w:pos="360"/>
      </w:tabs>
      <w:spacing w:line="360" w:lineRule="exact"/>
    </w:pPr>
    <w:rPr>
      <w:rFonts w:ascii="宋体" w:hAnsi="宋体" w:eastAsiaTheme="minorEastAsia" w:cstheme="minorBidi"/>
      <w:kern w:val="2"/>
      <w:sz w:val="18"/>
      <w:szCs w:val="18"/>
      <w:lang w:val="en-US" w:eastAsia="zh-CN" w:bidi="ar-SA"/>
    </w:rPr>
  </w:style>
  <w:style w:type="paragraph" w:customStyle="1" w:styleId="64">
    <w:name w:val="段"/>
    <w:link w:val="65"/>
    <w:qFormat/>
    <w:uiPriority w:val="0"/>
    <w:pPr>
      <w:tabs>
        <w:tab w:val="center" w:pos="4201"/>
        <w:tab w:val="right" w:leader="dot" w:pos="9298"/>
      </w:tabs>
      <w:autoSpaceDE w:val="0"/>
      <w:autoSpaceDN w:val="0"/>
      <w:spacing w:line="360" w:lineRule="exact"/>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65">
    <w:name w:val="段 Char"/>
    <w:link w:val="64"/>
    <w:qFormat/>
    <w:uiPriority w:val="0"/>
    <w:rPr>
      <w:rFonts w:ascii="宋体"/>
    </w:rPr>
  </w:style>
  <w:style w:type="character" w:customStyle="1" w:styleId="66">
    <w:name w:val="附录公式 Char"/>
    <w:basedOn w:val="65"/>
    <w:link w:val="67"/>
    <w:qFormat/>
    <w:uiPriority w:val="0"/>
    <w:rPr>
      <w:rFonts w:ascii="宋体"/>
    </w:rPr>
  </w:style>
  <w:style w:type="paragraph" w:customStyle="1" w:styleId="67">
    <w:name w:val="附录公式"/>
    <w:basedOn w:val="64"/>
    <w:next w:val="64"/>
    <w:link w:val="66"/>
    <w:qFormat/>
    <w:uiPriority w:val="0"/>
  </w:style>
  <w:style w:type="character" w:customStyle="1" w:styleId="68">
    <w:name w:val="发布"/>
    <w:qFormat/>
    <w:uiPriority w:val="0"/>
    <w:rPr>
      <w:rFonts w:ascii="黑体" w:eastAsia="黑体"/>
      <w:spacing w:val="85"/>
      <w:w w:val="100"/>
      <w:position w:val="3"/>
      <w:sz w:val="28"/>
      <w:szCs w:val="28"/>
    </w:rPr>
  </w:style>
  <w:style w:type="character" w:customStyle="1" w:styleId="69">
    <w:name w:val="一级条标题 Char"/>
    <w:link w:val="70"/>
    <w:qFormat/>
    <w:uiPriority w:val="0"/>
    <w:rPr>
      <w:rFonts w:ascii="黑体" w:eastAsia="黑体"/>
      <w:szCs w:val="21"/>
    </w:rPr>
  </w:style>
  <w:style w:type="paragraph" w:customStyle="1" w:styleId="70">
    <w:name w:val="一级条标题"/>
    <w:next w:val="64"/>
    <w:link w:val="69"/>
    <w:qFormat/>
    <w:uiPriority w:val="0"/>
    <w:pPr>
      <w:spacing w:beforeLines="50" w:afterLines="50" w:line="360" w:lineRule="exact"/>
      <w:ind w:left="851"/>
      <w:outlineLvl w:val="2"/>
    </w:pPr>
    <w:rPr>
      <w:rFonts w:ascii="黑体" w:eastAsia="黑体" w:hAnsiTheme="minorHAnsi" w:cstheme="minorBidi"/>
      <w:kern w:val="2"/>
      <w:sz w:val="21"/>
      <w:szCs w:val="21"/>
      <w:lang w:val="en-US" w:eastAsia="zh-CN" w:bidi="ar-SA"/>
    </w:rPr>
  </w:style>
  <w:style w:type="character" w:customStyle="1" w:styleId="71">
    <w:name w:val="HTML 预设格式 Char"/>
    <w:qFormat/>
    <w:uiPriority w:val="0"/>
    <w:rPr>
      <w:rFonts w:ascii="Courier New" w:hAnsi="Courier New" w:cs="Courier New"/>
    </w:rPr>
  </w:style>
  <w:style w:type="character" w:customStyle="1" w:styleId="72">
    <w:name w:val="尾注文本 Char"/>
    <w:semiHidden/>
    <w:qFormat/>
    <w:uiPriority w:val="0"/>
    <w:rPr>
      <w:szCs w:val="24"/>
    </w:rPr>
  </w:style>
  <w:style w:type="paragraph" w:customStyle="1" w:styleId="73">
    <w:name w:val="trs_editor"/>
    <w:basedOn w:val="1"/>
    <w:qFormat/>
    <w:uiPriority w:val="0"/>
    <w:pPr>
      <w:spacing w:before="100" w:beforeAutospacing="1" w:after="100" w:afterAutospacing="1" w:line="240" w:lineRule="auto"/>
    </w:pPr>
    <w:rPr>
      <w:rFonts w:ascii="宋体" w:hAnsi="宋体" w:cs="宋体"/>
      <w:kern w:val="0"/>
      <w:sz w:val="24"/>
    </w:rPr>
  </w:style>
  <w:style w:type="paragraph" w:customStyle="1" w:styleId="74">
    <w:name w:val="reader-word-layer"/>
    <w:basedOn w:val="1"/>
    <w:qFormat/>
    <w:uiPriority w:val="0"/>
    <w:pPr>
      <w:spacing w:before="100" w:beforeAutospacing="1" w:after="100" w:afterAutospacing="1" w:line="240" w:lineRule="auto"/>
    </w:pPr>
    <w:rPr>
      <w:rFonts w:ascii="宋体" w:hAnsi="宋体" w:cs="宋体"/>
      <w:kern w:val="0"/>
      <w:sz w:val="24"/>
    </w:rPr>
  </w:style>
  <w:style w:type="paragraph" w:styleId="75">
    <w:name w:val="List Paragraph"/>
    <w:basedOn w:val="1"/>
    <w:qFormat/>
    <w:uiPriority w:val="34"/>
    <w:pPr>
      <w:ind w:firstLine="420" w:firstLineChars="200"/>
    </w:pPr>
    <w:rPr>
      <w:rFonts w:ascii="宋体" w:hAnsi="宋体" w:cs="宋体"/>
      <w:kern w:val="0"/>
      <w:sz w:val="24"/>
    </w:rPr>
  </w:style>
  <w:style w:type="paragraph" w:customStyle="1" w:styleId="76">
    <w:name w:val="封面一致性程度标识2"/>
    <w:basedOn w:val="77"/>
    <w:qFormat/>
    <w:uiPriority w:val="0"/>
    <w:pPr>
      <w:framePr w:wrap="around" w:y="4469"/>
    </w:pPr>
  </w:style>
  <w:style w:type="paragraph" w:customStyle="1" w:styleId="77">
    <w:name w:val="封面一致性程度标识"/>
    <w:basedOn w:val="78"/>
    <w:qFormat/>
    <w:uiPriority w:val="0"/>
    <w:pPr>
      <w:framePr w:wrap="around"/>
      <w:spacing w:before="440"/>
    </w:pPr>
    <w:rPr>
      <w:rFonts w:ascii="宋体" w:eastAsia="宋体"/>
    </w:rPr>
  </w:style>
  <w:style w:type="paragraph" w:customStyle="1" w:styleId="78">
    <w:name w:val="封面标准英文名称"/>
    <w:basedOn w:val="79"/>
    <w:qFormat/>
    <w:uiPriority w:val="0"/>
    <w:pPr>
      <w:framePr w:wrap="around"/>
      <w:spacing w:before="370" w:line="400" w:lineRule="exact"/>
    </w:pPr>
    <w:rPr>
      <w:rFonts w:ascii="Times New Roman"/>
      <w:sz w:val="28"/>
      <w:szCs w:val="28"/>
    </w:rPr>
  </w:style>
  <w:style w:type="paragraph" w:customStyle="1" w:styleId="7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0">
    <w:name w:val="封面标准英文名称2"/>
    <w:basedOn w:val="78"/>
    <w:qFormat/>
    <w:uiPriority w:val="0"/>
    <w:pPr>
      <w:framePr w:wrap="around" w:y="4469"/>
    </w:pPr>
  </w:style>
  <w:style w:type="paragraph" w:customStyle="1" w:styleId="81">
    <w:name w:val="其他发布日期"/>
    <w:basedOn w:val="82"/>
    <w:qFormat/>
    <w:uiPriority w:val="0"/>
    <w:pPr>
      <w:framePr w:wrap="around" w:vAnchor="page" w:hAnchor="text" w:x="1419"/>
    </w:pPr>
  </w:style>
  <w:style w:type="paragraph" w:customStyle="1" w:styleId="82">
    <w:name w:val="发布日期"/>
    <w:qFormat/>
    <w:uiPriority w:val="0"/>
    <w:pPr>
      <w:framePr w:w="3997" w:h="471" w:hRule="exact" w:vSpace="181" w:wrap="around" w:vAnchor="margin" w:hAnchor="page" w:x="7089" w:y="14097" w:anchorLock="1"/>
      <w:spacing w:line="360" w:lineRule="exact"/>
    </w:pPr>
    <w:rPr>
      <w:rFonts w:ascii="Times New Roman" w:hAnsi="Times New Roman" w:eastAsia="黑体" w:cs="Times New Roman"/>
      <w:sz w:val="28"/>
      <w:lang w:val="en-US" w:eastAsia="zh-CN" w:bidi="ar-SA"/>
    </w:rPr>
  </w:style>
  <w:style w:type="paragraph" w:customStyle="1" w:styleId="83">
    <w:name w:val="正文公式编号制表符"/>
    <w:basedOn w:val="64"/>
    <w:next w:val="64"/>
    <w:qFormat/>
    <w:uiPriority w:val="0"/>
    <w:pPr>
      <w:ind w:firstLine="0" w:firstLineChars="0"/>
    </w:pPr>
  </w:style>
  <w:style w:type="paragraph" w:customStyle="1" w:styleId="84">
    <w:name w:val="正文表标题"/>
    <w:next w:val="64"/>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paragraph" w:customStyle="1" w:styleId="85">
    <w:name w:val="文献分类号"/>
    <w:qFormat/>
    <w:uiPriority w:val="0"/>
    <w:pPr>
      <w:framePr w:hSpace="180" w:vSpace="180" w:wrap="around" w:vAnchor="margin" w:hAnchor="margin" w:y="1" w:anchorLock="1"/>
      <w:widowControl w:val="0"/>
      <w:spacing w:line="360" w:lineRule="exact"/>
      <w:textAlignment w:val="center"/>
    </w:pPr>
    <w:rPr>
      <w:rFonts w:ascii="黑体" w:hAnsi="Times New Roman" w:eastAsia="黑体" w:cs="Times New Roman"/>
      <w:sz w:val="21"/>
      <w:szCs w:val="21"/>
      <w:lang w:val="en-US" w:eastAsia="zh-CN" w:bidi="ar-SA"/>
    </w:rPr>
  </w:style>
  <w:style w:type="paragraph" w:customStyle="1" w:styleId="86">
    <w:name w:val="一级无"/>
    <w:basedOn w:val="70"/>
    <w:qFormat/>
    <w:uiPriority w:val="0"/>
  </w:style>
  <w:style w:type="paragraph" w:customStyle="1" w:styleId="87">
    <w:name w:val="图的脚注"/>
    <w:next w:val="64"/>
    <w:qFormat/>
    <w:uiPriority w:val="0"/>
    <w:pPr>
      <w:widowControl w:val="0"/>
      <w:spacing w:line="360" w:lineRule="exact"/>
      <w:ind w:left="840" w:leftChars="200" w:hanging="420" w:hangingChars="200"/>
      <w:jc w:val="both"/>
    </w:pPr>
    <w:rPr>
      <w:rFonts w:ascii="宋体" w:hAnsi="Times New Roman" w:eastAsia="宋体" w:cs="Times New Roman"/>
      <w:sz w:val="18"/>
      <w:lang w:val="en-US" w:eastAsia="zh-CN" w:bidi="ar-SA"/>
    </w:rPr>
  </w:style>
  <w:style w:type="paragraph" w:customStyle="1" w:styleId="88">
    <w:name w:val="图标脚注说明"/>
    <w:basedOn w:val="64"/>
    <w:qFormat/>
    <w:uiPriority w:val="0"/>
    <w:pPr>
      <w:ind w:left="840" w:hanging="420" w:firstLineChars="0"/>
    </w:pPr>
    <w:rPr>
      <w:sz w:val="18"/>
      <w:szCs w:val="18"/>
    </w:rPr>
  </w:style>
  <w:style w:type="paragraph" w:customStyle="1" w:styleId="89">
    <w:name w:val="示例后文字"/>
    <w:basedOn w:val="64"/>
    <w:next w:val="64"/>
    <w:qFormat/>
    <w:uiPriority w:val="0"/>
    <w:pPr>
      <w:ind w:firstLine="360"/>
    </w:pPr>
    <w:rPr>
      <w:sz w:val="18"/>
    </w:rPr>
  </w:style>
  <w:style w:type="paragraph" w:customStyle="1" w:styleId="90">
    <w:name w:val="实施日期"/>
    <w:basedOn w:val="82"/>
    <w:qFormat/>
    <w:uiPriority w:val="0"/>
    <w:pPr>
      <w:framePr w:wrap="around" w:vAnchor="page" w:hAnchor="text"/>
      <w:jc w:val="right"/>
    </w:pPr>
  </w:style>
  <w:style w:type="paragraph" w:customStyle="1" w:styleId="91">
    <w:name w:val="前言、引言标题"/>
    <w:next w:val="64"/>
    <w:qFormat/>
    <w:uiPriority w:val="0"/>
    <w:pPr>
      <w:keepNext/>
      <w:pageBreakBefore/>
      <w:shd w:val="clear" w:color="FFFFFF" w:fill="FFFFFF"/>
      <w:spacing w:before="640" w:after="560" w:line="360" w:lineRule="exact"/>
      <w:jc w:val="center"/>
      <w:outlineLvl w:val="0"/>
    </w:pPr>
    <w:rPr>
      <w:rFonts w:ascii="黑体" w:hAnsi="Times New Roman" w:eastAsia="黑体" w:cs="Times New Roman"/>
      <w:sz w:val="32"/>
      <w:lang w:val="en-US" w:eastAsia="zh-CN" w:bidi="ar-SA"/>
    </w:rPr>
  </w:style>
  <w:style w:type="paragraph" w:customStyle="1" w:styleId="92">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9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4">
    <w:name w:val="列出段落1"/>
    <w:basedOn w:val="1"/>
    <w:qFormat/>
    <w:uiPriority w:val="0"/>
    <w:pPr>
      <w:widowControl w:val="0"/>
      <w:spacing w:line="240" w:lineRule="auto"/>
      <w:ind w:firstLine="420" w:firstLineChars="200"/>
      <w:jc w:val="both"/>
    </w:pPr>
    <w:rPr>
      <w:rFonts w:ascii="Calibri" w:hAnsi="Calibri"/>
      <w:szCs w:val="22"/>
    </w:rPr>
  </w:style>
  <w:style w:type="paragraph" w:customStyle="1" w:styleId="95">
    <w:name w:val="列项说明"/>
    <w:basedOn w:val="1"/>
    <w:qFormat/>
    <w:uiPriority w:val="0"/>
    <w:pPr>
      <w:adjustRightInd w:val="0"/>
      <w:spacing w:line="320" w:lineRule="exact"/>
      <w:ind w:left="400" w:leftChars="200" w:hanging="200" w:hangingChars="200"/>
      <w:textAlignment w:val="baseline"/>
    </w:pPr>
    <w:rPr>
      <w:rFonts w:ascii="宋体"/>
      <w:kern w:val="0"/>
      <w:szCs w:val="20"/>
    </w:rPr>
  </w:style>
  <w:style w:type="paragraph" w:customStyle="1" w:styleId="96">
    <w:name w:val="附录字母编号列项（一级）"/>
    <w:qFormat/>
    <w:uiPriority w:val="0"/>
    <w:pPr>
      <w:tabs>
        <w:tab w:val="left" w:pos="839"/>
      </w:tabs>
      <w:spacing w:line="360" w:lineRule="exact"/>
      <w:ind w:left="839" w:hanging="419"/>
    </w:pPr>
    <w:rPr>
      <w:rFonts w:ascii="宋体" w:hAnsi="Times New Roman" w:eastAsia="宋体" w:cs="Times New Roman"/>
      <w:sz w:val="21"/>
      <w:lang w:val="en-US" w:eastAsia="zh-CN" w:bidi="ar-SA"/>
    </w:rPr>
  </w:style>
  <w:style w:type="paragraph" w:customStyle="1" w:styleId="97">
    <w:name w:val="条文脚注"/>
    <w:basedOn w:val="29"/>
    <w:qFormat/>
    <w:uiPriority w:val="0"/>
    <w:pPr>
      <w:ind w:left="0" w:firstLine="0"/>
      <w:jc w:val="both"/>
    </w:pPr>
  </w:style>
  <w:style w:type="paragraph" w:customStyle="1" w:styleId="98">
    <w:name w:val="附录一级无"/>
    <w:basedOn w:val="99"/>
    <w:qFormat/>
    <w:uiPriority w:val="0"/>
    <w:pPr>
      <w:tabs>
        <w:tab w:val="left" w:pos="360"/>
      </w:tabs>
      <w:spacing w:beforeLines="0" w:afterLines="0"/>
    </w:pPr>
    <w:rPr>
      <w:rFonts w:ascii="宋体" w:eastAsia="宋体"/>
      <w:szCs w:val="21"/>
    </w:rPr>
  </w:style>
  <w:style w:type="paragraph" w:customStyle="1" w:styleId="99">
    <w:name w:val="附录一级条标题"/>
    <w:basedOn w:val="100"/>
    <w:next w:val="64"/>
    <w:qFormat/>
    <w:uiPriority w:val="0"/>
    <w:pPr>
      <w:tabs>
        <w:tab w:val="left" w:pos="360"/>
      </w:tabs>
      <w:autoSpaceDN w:val="0"/>
      <w:spacing w:beforeLines="50" w:afterLines="50"/>
      <w:outlineLvl w:val="2"/>
    </w:pPr>
  </w:style>
  <w:style w:type="paragraph" w:customStyle="1" w:styleId="100">
    <w:name w:val="附录章标题"/>
    <w:next w:val="64"/>
    <w:qFormat/>
    <w:uiPriority w:val="0"/>
    <w:pPr>
      <w:tabs>
        <w:tab w:val="left" w:pos="360"/>
      </w:tabs>
      <w:wordWrap w:val="0"/>
      <w:overflowPunct w:val="0"/>
      <w:autoSpaceDE w:val="0"/>
      <w:spacing w:beforeLines="100" w:afterLines="100" w:line="360" w:lineRule="exact"/>
      <w:jc w:val="both"/>
      <w:textAlignment w:val="baseline"/>
      <w:outlineLvl w:val="1"/>
    </w:pPr>
    <w:rPr>
      <w:rFonts w:ascii="黑体" w:hAnsi="Times New Roman" w:eastAsia="黑体" w:cs="Times New Roman"/>
      <w:kern w:val="21"/>
      <w:sz w:val="21"/>
      <w:lang w:val="en-US" w:eastAsia="zh-CN" w:bidi="ar-SA"/>
    </w:rPr>
  </w:style>
  <w:style w:type="paragraph" w:customStyle="1" w:styleId="101">
    <w:name w:val="附录五级无"/>
    <w:basedOn w:val="102"/>
    <w:qFormat/>
    <w:uiPriority w:val="0"/>
    <w:pPr>
      <w:tabs>
        <w:tab w:val="left" w:pos="360"/>
      </w:tabs>
      <w:spacing w:beforeLines="0" w:afterLines="0"/>
    </w:pPr>
    <w:rPr>
      <w:rFonts w:ascii="宋体" w:eastAsia="宋体"/>
      <w:szCs w:val="21"/>
    </w:rPr>
  </w:style>
  <w:style w:type="paragraph" w:customStyle="1" w:styleId="102">
    <w:name w:val="附录五级条标题"/>
    <w:basedOn w:val="103"/>
    <w:next w:val="64"/>
    <w:qFormat/>
    <w:uiPriority w:val="0"/>
    <w:pPr>
      <w:tabs>
        <w:tab w:val="left" w:pos="360"/>
      </w:tabs>
      <w:outlineLvl w:val="6"/>
    </w:pPr>
  </w:style>
  <w:style w:type="paragraph" w:customStyle="1" w:styleId="103">
    <w:name w:val="附录四级条标题"/>
    <w:basedOn w:val="104"/>
    <w:next w:val="64"/>
    <w:qFormat/>
    <w:uiPriority w:val="0"/>
    <w:pPr>
      <w:tabs>
        <w:tab w:val="left" w:pos="360"/>
      </w:tabs>
    </w:pPr>
  </w:style>
  <w:style w:type="paragraph" w:customStyle="1" w:styleId="104">
    <w:name w:val="附录三级条标题"/>
    <w:basedOn w:val="105"/>
    <w:next w:val="64"/>
    <w:qFormat/>
    <w:uiPriority w:val="0"/>
    <w:pPr>
      <w:tabs>
        <w:tab w:val="left" w:pos="360"/>
      </w:tabs>
    </w:pPr>
  </w:style>
  <w:style w:type="paragraph" w:customStyle="1" w:styleId="105">
    <w:name w:val="附录二级条标题"/>
    <w:basedOn w:val="1"/>
    <w:next w:val="64"/>
    <w:qFormat/>
    <w:uiPriority w:val="0"/>
    <w:p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06">
    <w:name w:val="附录图标题"/>
    <w:basedOn w:val="1"/>
    <w:next w:val="64"/>
    <w:qFormat/>
    <w:uiPriority w:val="0"/>
    <w:pPr>
      <w:tabs>
        <w:tab w:val="left" w:pos="363"/>
      </w:tabs>
      <w:spacing w:beforeLines="50" w:afterLines="50"/>
      <w:jc w:val="center"/>
    </w:pPr>
    <w:rPr>
      <w:rFonts w:ascii="黑体" w:eastAsia="黑体"/>
      <w:szCs w:val="21"/>
    </w:rPr>
  </w:style>
  <w:style w:type="paragraph" w:customStyle="1" w:styleId="107">
    <w:name w:val="附录图标号"/>
    <w:basedOn w:val="1"/>
    <w:qFormat/>
    <w:uiPriority w:val="0"/>
    <w:pPr>
      <w:keepNext/>
      <w:pageBreakBefore/>
      <w:spacing w:line="14" w:lineRule="exact"/>
      <w:ind w:firstLine="363"/>
      <w:jc w:val="center"/>
      <w:outlineLvl w:val="0"/>
    </w:pPr>
    <w:rPr>
      <w:color w:val="FFFFFF"/>
    </w:rPr>
  </w:style>
  <w:style w:type="paragraph" w:customStyle="1" w:styleId="108">
    <w:name w:val="附录四级无"/>
    <w:basedOn w:val="103"/>
    <w:qFormat/>
    <w:uiPriority w:val="0"/>
    <w:pPr>
      <w:tabs>
        <w:tab w:val="clear" w:pos="360"/>
      </w:tabs>
      <w:spacing w:beforeLines="0" w:afterLines="0"/>
      <w:outlineLvl w:val="5"/>
    </w:pPr>
    <w:rPr>
      <w:rFonts w:ascii="宋体" w:eastAsia="宋体"/>
      <w:szCs w:val="21"/>
    </w:rPr>
  </w:style>
  <w:style w:type="paragraph" w:customStyle="1" w:styleId="109">
    <w:name w:val="附录三级无"/>
    <w:basedOn w:val="104"/>
    <w:qFormat/>
    <w:uiPriority w:val="0"/>
  </w:style>
  <w:style w:type="paragraph" w:customStyle="1" w:styleId="110">
    <w:name w:val="注："/>
    <w:next w:val="64"/>
    <w:qFormat/>
    <w:uiPriority w:val="0"/>
    <w:pPr>
      <w:widowControl w:val="0"/>
      <w:autoSpaceDE w:val="0"/>
      <w:autoSpaceDN w:val="0"/>
      <w:spacing w:line="360" w:lineRule="exact"/>
      <w:ind w:left="726" w:hanging="363"/>
      <w:jc w:val="both"/>
    </w:pPr>
    <w:rPr>
      <w:rFonts w:ascii="宋体" w:hAnsi="Times New Roman" w:eastAsia="宋体" w:cs="Times New Roman"/>
      <w:sz w:val="18"/>
      <w:szCs w:val="18"/>
      <w:lang w:val="en-US" w:eastAsia="zh-CN" w:bidi="ar-SA"/>
    </w:rPr>
  </w:style>
  <w:style w:type="paragraph" w:customStyle="1" w:styleId="111">
    <w:name w:val="附录公式编号制表符"/>
    <w:basedOn w:val="1"/>
    <w:next w:val="64"/>
    <w:qFormat/>
    <w:uiPriority w:val="0"/>
    <w:pPr>
      <w:tabs>
        <w:tab w:val="center" w:pos="4201"/>
        <w:tab w:val="right" w:leader="dot" w:pos="9298"/>
      </w:tabs>
      <w:autoSpaceDE w:val="0"/>
      <w:autoSpaceDN w:val="0"/>
    </w:pPr>
    <w:rPr>
      <w:rFonts w:ascii="宋体"/>
      <w:kern w:val="0"/>
      <w:szCs w:val="20"/>
    </w:rPr>
  </w:style>
  <w:style w:type="paragraph" w:customStyle="1" w:styleId="112">
    <w:name w:val="附录二级无"/>
    <w:basedOn w:val="105"/>
    <w:qFormat/>
    <w:uiPriority w:val="0"/>
  </w:style>
  <w:style w:type="paragraph" w:customStyle="1" w:styleId="113">
    <w:name w:val="附录标题"/>
    <w:basedOn w:val="64"/>
    <w:next w:val="64"/>
    <w:qFormat/>
    <w:uiPriority w:val="0"/>
    <w:pPr>
      <w:ind w:firstLine="0" w:firstLineChars="0"/>
      <w:jc w:val="center"/>
    </w:pPr>
    <w:rPr>
      <w:rFonts w:ascii="黑体" w:eastAsia="黑体"/>
    </w:rPr>
  </w:style>
  <w:style w:type="paragraph" w:customStyle="1" w:styleId="114">
    <w:name w:val="参考文献"/>
    <w:basedOn w:val="1"/>
    <w:next w:val="64"/>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15">
    <w:name w:val="封面正文"/>
    <w:qFormat/>
    <w:uiPriority w:val="0"/>
    <w:pPr>
      <w:spacing w:line="360" w:lineRule="exact"/>
      <w:jc w:val="both"/>
    </w:pPr>
    <w:rPr>
      <w:rFonts w:ascii="Times New Roman" w:hAnsi="Times New Roman" w:eastAsia="宋体" w:cs="Times New Roman"/>
      <w:lang w:val="en-US" w:eastAsia="zh-CN" w:bidi="ar-SA"/>
    </w:rPr>
  </w:style>
  <w:style w:type="paragraph" w:customStyle="1" w:styleId="116">
    <w:name w:val="封面标准文稿类别"/>
    <w:basedOn w:val="77"/>
    <w:qFormat/>
    <w:uiPriority w:val="0"/>
    <w:pPr>
      <w:framePr w:wrap="around"/>
      <w:spacing w:after="160" w:line="240" w:lineRule="auto"/>
    </w:pPr>
    <w:rPr>
      <w:sz w:val="24"/>
    </w:rPr>
  </w:style>
  <w:style w:type="paragraph" w:customStyle="1" w:styleId="117">
    <w:name w:val="封面标准号1"/>
    <w:qFormat/>
    <w:uiPriority w:val="0"/>
    <w:pPr>
      <w:widowControl w:val="0"/>
      <w:kinsoku w:val="0"/>
      <w:overflowPunct w:val="0"/>
      <w:autoSpaceDE w:val="0"/>
      <w:autoSpaceDN w:val="0"/>
      <w:spacing w:before="308" w:line="360" w:lineRule="exact"/>
      <w:jc w:val="right"/>
      <w:textAlignment w:val="center"/>
    </w:pPr>
    <w:rPr>
      <w:rFonts w:ascii="Times New Roman" w:hAnsi="Times New Roman" w:eastAsia="宋体" w:cs="Times New Roman"/>
      <w:sz w:val="28"/>
      <w:lang w:val="en-US" w:eastAsia="zh-CN" w:bidi="ar-SA"/>
    </w:rPr>
  </w:style>
  <w:style w:type="paragraph" w:customStyle="1" w:styleId="118">
    <w:name w:val="其他实施日期"/>
    <w:basedOn w:val="90"/>
    <w:qFormat/>
    <w:uiPriority w:val="0"/>
    <w:pPr>
      <w:framePr w:wrap="around" w:vAnchor="margin" w:hAnchor="page"/>
    </w:pPr>
  </w:style>
  <w:style w:type="paragraph" w:customStyle="1" w:styleId="119">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20">
    <w:name w:val="发布部门"/>
    <w:next w:val="64"/>
    <w:qFormat/>
    <w:uiPriority w:val="0"/>
    <w:pPr>
      <w:framePr w:w="7938" w:h="1134" w:hRule="exact" w:hSpace="125" w:vSpace="181" w:wrap="around" w:vAnchor="page" w:hAnchor="page" w:x="2150" w:y="14630" w:anchorLock="1"/>
      <w:spacing w:line="360" w:lineRule="exact"/>
      <w:jc w:val="center"/>
    </w:pPr>
    <w:rPr>
      <w:rFonts w:ascii="宋体" w:hAnsi="Times New Roman" w:eastAsia="宋体" w:cs="Times New Roman"/>
      <w:b/>
      <w:spacing w:val="20"/>
      <w:w w:val="135"/>
      <w:sz w:val="28"/>
      <w:lang w:val="en-US" w:eastAsia="zh-CN" w:bidi="ar-SA"/>
    </w:rPr>
  </w:style>
  <w:style w:type="paragraph" w:customStyle="1" w:styleId="121">
    <w:name w:val="注：（正文）"/>
    <w:basedOn w:val="110"/>
    <w:next w:val="64"/>
    <w:qFormat/>
    <w:uiPriority w:val="0"/>
  </w:style>
  <w:style w:type="paragraph" w:customStyle="1" w:styleId="122">
    <w:name w:val="参考文献、索引标题"/>
    <w:basedOn w:val="1"/>
    <w:next w:val="64"/>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23">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24">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25">
    <w:name w:val="附录数字编号列项（二级）"/>
    <w:qFormat/>
    <w:uiPriority w:val="0"/>
    <w:pPr>
      <w:tabs>
        <w:tab w:val="left" w:pos="840"/>
      </w:tabs>
      <w:spacing w:line="360" w:lineRule="exact"/>
      <w:ind w:left="839" w:hanging="419"/>
    </w:pPr>
    <w:rPr>
      <w:rFonts w:ascii="宋体" w:hAnsi="Times New Roman" w:eastAsia="宋体" w:cs="Times New Roman"/>
      <w:sz w:val="21"/>
      <w:lang w:val="en-US" w:eastAsia="zh-CN" w:bidi="ar-SA"/>
    </w:rPr>
  </w:style>
  <w:style w:type="paragraph" w:customStyle="1" w:styleId="126">
    <w:name w:val="注×：（正文）"/>
    <w:qFormat/>
    <w:uiPriority w:val="0"/>
    <w:pPr>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27">
    <w:name w:val="示例内容"/>
    <w:qFormat/>
    <w:uiPriority w:val="0"/>
    <w:pPr>
      <w:spacing w:line="360" w:lineRule="exact"/>
      <w:ind w:firstLine="200" w:firstLineChars="200"/>
    </w:pPr>
    <w:rPr>
      <w:rFonts w:ascii="宋体" w:hAnsi="Times New Roman" w:eastAsia="宋体" w:cs="Times New Roman"/>
      <w:sz w:val="18"/>
      <w:szCs w:val="18"/>
      <w:lang w:val="en-US" w:eastAsia="zh-CN" w:bidi="ar-SA"/>
    </w:rPr>
  </w:style>
  <w:style w:type="paragraph" w:customStyle="1" w:styleId="128">
    <w:name w:val="示例×："/>
    <w:basedOn w:val="129"/>
    <w:qFormat/>
    <w:uiPriority w:val="0"/>
    <w:pPr>
      <w:spacing w:beforeLines="0" w:afterLines="0"/>
      <w:ind w:firstLine="363"/>
      <w:outlineLvl w:val="9"/>
    </w:pPr>
    <w:rPr>
      <w:rFonts w:ascii="宋体" w:eastAsia="宋体"/>
      <w:sz w:val="18"/>
      <w:szCs w:val="18"/>
    </w:rPr>
  </w:style>
  <w:style w:type="paragraph" w:customStyle="1" w:styleId="129">
    <w:name w:val="章标题"/>
    <w:next w:val="64"/>
    <w:qFormat/>
    <w:uiPriority w:val="0"/>
    <w:pPr>
      <w:spacing w:beforeLines="100" w:afterLines="100" w:line="360" w:lineRule="exact"/>
      <w:jc w:val="both"/>
      <w:outlineLvl w:val="1"/>
    </w:pPr>
    <w:rPr>
      <w:rFonts w:ascii="黑体" w:hAnsi="Times New Roman" w:eastAsia="黑体" w:cs="Times New Roman"/>
      <w:sz w:val="21"/>
      <w:lang w:val="en-US" w:eastAsia="zh-CN" w:bidi="ar-SA"/>
    </w:rPr>
  </w:style>
  <w:style w:type="paragraph" w:customStyle="1" w:styleId="130">
    <w:name w:val="编号列项（三级）"/>
    <w:qFormat/>
    <w:uiPriority w:val="99"/>
    <w:pPr>
      <w:tabs>
        <w:tab w:val="left" w:pos="0"/>
      </w:tabs>
      <w:spacing w:line="360" w:lineRule="exact"/>
      <w:ind w:left="1679" w:hanging="420"/>
    </w:pPr>
    <w:rPr>
      <w:rFonts w:ascii="宋体" w:hAnsi="Times New Roman" w:eastAsia="宋体" w:cs="Times New Roman"/>
      <w:sz w:val="21"/>
      <w:lang w:val="en-US" w:eastAsia="zh-CN" w:bidi="ar-SA"/>
    </w:rPr>
  </w:style>
  <w:style w:type="paragraph" w:customStyle="1" w:styleId="131">
    <w:name w:val="注×："/>
    <w:qFormat/>
    <w:uiPriority w:val="0"/>
    <w:pPr>
      <w:widowControl w:val="0"/>
      <w:autoSpaceDE w:val="0"/>
      <w:autoSpaceDN w:val="0"/>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32">
    <w:name w:val="数字编号列项（二级）"/>
    <w:qFormat/>
    <w:uiPriority w:val="99"/>
    <w:pPr>
      <w:tabs>
        <w:tab w:val="left" w:pos="1260"/>
      </w:tabs>
      <w:spacing w:line="360" w:lineRule="exact"/>
      <w:ind w:left="1259" w:hanging="419"/>
      <w:jc w:val="both"/>
    </w:pPr>
    <w:rPr>
      <w:rFonts w:ascii="宋体" w:hAnsi="Times New Roman" w:eastAsia="宋体" w:cs="Times New Roman"/>
      <w:sz w:val="21"/>
      <w:lang w:val="en-US" w:eastAsia="zh-CN" w:bidi="ar-SA"/>
    </w:rPr>
  </w:style>
  <w:style w:type="paragraph" w:customStyle="1" w:styleId="133">
    <w:name w:val="五级无"/>
    <w:basedOn w:val="134"/>
    <w:qFormat/>
    <w:uiPriority w:val="0"/>
    <w:pPr>
      <w:spacing w:beforeLines="0" w:afterLines="0"/>
      <w:outlineLvl w:val="6"/>
    </w:pPr>
    <w:rPr>
      <w:rFonts w:ascii="宋体" w:eastAsia="宋体"/>
    </w:rPr>
  </w:style>
  <w:style w:type="paragraph" w:customStyle="1" w:styleId="134">
    <w:name w:val="五级条标题"/>
    <w:basedOn w:val="135"/>
    <w:next w:val="64"/>
    <w:qFormat/>
    <w:uiPriority w:val="0"/>
  </w:style>
  <w:style w:type="paragraph" w:customStyle="1" w:styleId="135">
    <w:name w:val="四级条标题"/>
    <w:basedOn w:val="136"/>
    <w:next w:val="64"/>
    <w:qFormat/>
    <w:uiPriority w:val="0"/>
  </w:style>
  <w:style w:type="paragraph" w:customStyle="1" w:styleId="136">
    <w:name w:val="三级条标题"/>
    <w:basedOn w:val="137"/>
    <w:next w:val="64"/>
    <w:qFormat/>
    <w:uiPriority w:val="0"/>
  </w:style>
  <w:style w:type="paragraph" w:customStyle="1" w:styleId="137">
    <w:name w:val="二级条标题"/>
    <w:basedOn w:val="70"/>
    <w:next w:val="64"/>
    <w:qFormat/>
    <w:uiPriority w:val="0"/>
  </w:style>
  <w:style w:type="paragraph" w:customStyle="1" w:styleId="138">
    <w:name w:val="四级无"/>
    <w:basedOn w:val="135"/>
    <w:qFormat/>
    <w:uiPriority w:val="0"/>
  </w:style>
  <w:style w:type="paragraph" w:customStyle="1" w:styleId="139">
    <w:name w:val="三级无"/>
    <w:basedOn w:val="136"/>
    <w:qFormat/>
    <w:uiPriority w:val="0"/>
  </w:style>
  <w:style w:type="paragraph" w:customStyle="1" w:styleId="140">
    <w:name w:val="其他标准标志"/>
    <w:basedOn w:val="124"/>
    <w:qFormat/>
    <w:uiPriority w:val="0"/>
    <w:pPr>
      <w:framePr w:w="6101" w:wrap="around" w:vAnchor="page" w:hAnchor="page" w:x="4673" w:y="942"/>
    </w:pPr>
    <w:rPr>
      <w:w w:val="130"/>
    </w:rPr>
  </w:style>
  <w:style w:type="paragraph" w:customStyle="1" w:styleId="141">
    <w:name w:val="目次、标准名称标题"/>
    <w:basedOn w:val="1"/>
    <w:next w:val="64"/>
    <w:qFormat/>
    <w:uiPriority w:val="0"/>
    <w:pPr>
      <w:keepNext/>
      <w:pageBreakBefore/>
      <w:shd w:val="clear" w:color="FFFFFF" w:fill="FFFFFF"/>
      <w:spacing w:before="640" w:after="560" w:line="460" w:lineRule="exact"/>
      <w:jc w:val="center"/>
      <w:outlineLvl w:val="0"/>
    </w:pPr>
    <w:rPr>
      <w:rFonts w:ascii="黑体" w:eastAsia="黑体"/>
      <w:kern w:val="0"/>
      <w:sz w:val="32"/>
      <w:szCs w:val="20"/>
    </w:rPr>
  </w:style>
  <w:style w:type="paragraph" w:customStyle="1" w:styleId="142">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43">
    <w:name w:val="列项——（一级）"/>
    <w:qFormat/>
    <w:uiPriority w:val="99"/>
    <w:pPr>
      <w:widowControl w:val="0"/>
      <w:spacing w:line="360" w:lineRule="exact"/>
      <w:ind w:left="1260" w:hanging="408"/>
      <w:jc w:val="both"/>
    </w:pPr>
    <w:rPr>
      <w:rFonts w:ascii="宋体" w:hAnsi="Times New Roman" w:eastAsia="宋体" w:cs="Times New Roman"/>
      <w:sz w:val="21"/>
      <w:lang w:val="en-US" w:eastAsia="zh-CN" w:bidi="ar-SA"/>
    </w:rPr>
  </w:style>
  <w:style w:type="character" w:customStyle="1" w:styleId="144">
    <w:name w:val="批注框文本 Char1"/>
    <w:basedOn w:val="41"/>
    <w:link w:val="23"/>
    <w:semiHidden/>
    <w:qFormat/>
    <w:uiPriority w:val="99"/>
    <w:rPr>
      <w:rFonts w:ascii="Times New Roman" w:hAnsi="Times New Roman" w:eastAsia="宋体" w:cs="Times New Roman"/>
      <w:sz w:val="18"/>
      <w:szCs w:val="18"/>
    </w:rPr>
  </w:style>
  <w:style w:type="paragraph" w:customStyle="1" w:styleId="145">
    <w:name w:val="列项◆（三级）"/>
    <w:basedOn w:val="1"/>
    <w:qFormat/>
    <w:uiPriority w:val="99"/>
    <w:pPr>
      <w:tabs>
        <w:tab w:val="left" w:pos="969"/>
      </w:tabs>
      <w:ind w:left="969" w:hanging="414"/>
    </w:pPr>
    <w:rPr>
      <w:rFonts w:ascii="宋体"/>
      <w:szCs w:val="21"/>
    </w:rPr>
  </w:style>
  <w:style w:type="paragraph" w:customStyle="1" w:styleId="146">
    <w:name w:val="标准书眉_奇数页"/>
    <w:next w:val="1"/>
    <w:qFormat/>
    <w:uiPriority w:val="0"/>
    <w:pPr>
      <w:tabs>
        <w:tab w:val="center" w:pos="4154"/>
        <w:tab w:val="right" w:pos="8306"/>
      </w:tabs>
      <w:spacing w:after="220" w:line="360" w:lineRule="exact"/>
      <w:jc w:val="right"/>
    </w:pPr>
    <w:rPr>
      <w:rFonts w:ascii="黑体" w:hAnsi="Times New Roman" w:eastAsia="黑体" w:cs="Times New Roman"/>
      <w:sz w:val="21"/>
      <w:szCs w:val="21"/>
      <w:lang w:val="en-US" w:eastAsia="zh-CN" w:bidi="ar-SA"/>
    </w:rPr>
  </w:style>
  <w:style w:type="character" w:customStyle="1" w:styleId="147">
    <w:name w:val="页眉 Char1"/>
    <w:basedOn w:val="41"/>
    <w:link w:val="25"/>
    <w:semiHidden/>
    <w:qFormat/>
    <w:uiPriority w:val="99"/>
    <w:rPr>
      <w:rFonts w:ascii="Times New Roman" w:hAnsi="Times New Roman" w:eastAsia="宋体" w:cs="Times New Roman"/>
      <w:sz w:val="18"/>
      <w:szCs w:val="18"/>
    </w:rPr>
  </w:style>
  <w:style w:type="paragraph" w:customStyle="1" w:styleId="148">
    <w:name w:val="标准书脚_奇数页"/>
    <w:qFormat/>
    <w:uiPriority w:val="0"/>
    <w:pPr>
      <w:spacing w:before="120" w:line="360" w:lineRule="exact"/>
      <w:ind w:right="198"/>
      <w:jc w:val="right"/>
    </w:pPr>
    <w:rPr>
      <w:rFonts w:ascii="宋体" w:hAnsi="Times New Roman" w:eastAsia="宋体" w:cs="Times New Roman"/>
      <w:sz w:val="18"/>
      <w:szCs w:val="18"/>
      <w:lang w:val="en-US" w:eastAsia="zh-CN" w:bidi="ar-SA"/>
    </w:rPr>
  </w:style>
  <w:style w:type="paragraph" w:customStyle="1" w:styleId="149">
    <w:name w:val="其他发布部门"/>
    <w:basedOn w:val="120"/>
    <w:qFormat/>
    <w:uiPriority w:val="0"/>
    <w:pPr>
      <w:framePr w:wrap="around" w:y="15310"/>
      <w:spacing w:line="0" w:lineRule="atLeast"/>
    </w:pPr>
    <w:rPr>
      <w:rFonts w:ascii="黑体" w:eastAsia="黑体"/>
      <w:b w:val="0"/>
    </w:rPr>
  </w:style>
  <w:style w:type="paragraph" w:customStyle="1" w:styleId="150">
    <w:name w:val="列项说明数字编号"/>
    <w:qFormat/>
    <w:uiPriority w:val="0"/>
    <w:pPr>
      <w:spacing w:line="360" w:lineRule="exact"/>
      <w:ind w:left="600" w:leftChars="400" w:hanging="200" w:hangingChars="200"/>
    </w:pPr>
    <w:rPr>
      <w:rFonts w:ascii="宋体" w:hAnsi="Times New Roman" w:eastAsia="宋体" w:cs="Times New Roman"/>
      <w:sz w:val="21"/>
      <w:lang w:val="en-US" w:eastAsia="zh-CN" w:bidi="ar-SA"/>
    </w:rPr>
  </w:style>
  <w:style w:type="paragraph" w:customStyle="1" w:styleId="151">
    <w:name w:val="正文图标题"/>
    <w:next w:val="64"/>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character" w:customStyle="1" w:styleId="152">
    <w:name w:val="HTML 预设格式 Char1"/>
    <w:basedOn w:val="41"/>
    <w:link w:val="33"/>
    <w:semiHidden/>
    <w:qFormat/>
    <w:uiPriority w:val="99"/>
    <w:rPr>
      <w:rFonts w:ascii="Courier New" w:hAnsi="Courier New" w:eastAsia="宋体" w:cs="Courier New"/>
      <w:sz w:val="20"/>
      <w:szCs w:val="20"/>
    </w:rPr>
  </w:style>
  <w:style w:type="paragraph" w:customStyle="1" w:styleId="153">
    <w:name w:val="附录标识"/>
    <w:basedOn w:val="1"/>
    <w:next w:val="64"/>
    <w:qFormat/>
    <w:uiPriority w:val="0"/>
    <w:pPr>
      <w:keepNext/>
      <w:shd w:val="clear" w:color="FFFFFF" w:fill="FFFFFF"/>
      <w:tabs>
        <w:tab w:val="left" w:pos="6405"/>
      </w:tabs>
      <w:spacing w:before="640" w:after="280"/>
      <w:jc w:val="center"/>
      <w:outlineLvl w:val="0"/>
    </w:pPr>
    <w:rPr>
      <w:rFonts w:ascii="黑体" w:eastAsia="黑体"/>
      <w:kern w:val="0"/>
      <w:szCs w:val="20"/>
    </w:rPr>
  </w:style>
  <w:style w:type="character" w:customStyle="1" w:styleId="154">
    <w:name w:val="脚注文本 Char1"/>
    <w:basedOn w:val="41"/>
    <w:link w:val="29"/>
    <w:semiHidden/>
    <w:qFormat/>
    <w:uiPriority w:val="99"/>
    <w:rPr>
      <w:rFonts w:ascii="Times New Roman" w:hAnsi="Times New Roman" w:eastAsia="宋体" w:cs="Times New Roman"/>
      <w:sz w:val="18"/>
      <w:szCs w:val="18"/>
    </w:rPr>
  </w:style>
  <w:style w:type="paragraph" w:customStyle="1" w:styleId="155">
    <w:name w:val="字母编号列项（一级）"/>
    <w:qFormat/>
    <w:uiPriority w:val="99"/>
    <w:pPr>
      <w:tabs>
        <w:tab w:val="left" w:pos="840"/>
      </w:tabs>
      <w:spacing w:line="360" w:lineRule="exact"/>
      <w:ind w:left="839" w:hanging="419"/>
      <w:jc w:val="both"/>
    </w:pPr>
    <w:rPr>
      <w:rFonts w:ascii="宋体" w:hAnsi="Times New Roman" w:eastAsia="宋体" w:cs="Times New Roman"/>
      <w:sz w:val="21"/>
      <w:lang w:val="en-US" w:eastAsia="zh-CN" w:bidi="ar-SA"/>
    </w:rPr>
  </w:style>
  <w:style w:type="paragraph" w:customStyle="1" w:styleId="156">
    <w:name w:val="二级无"/>
    <w:basedOn w:val="137"/>
    <w:qFormat/>
    <w:uiPriority w:val="0"/>
  </w:style>
  <w:style w:type="paragraph" w:customStyle="1" w:styleId="157">
    <w:name w:val="列项●（二级）"/>
    <w:qFormat/>
    <w:uiPriority w:val="99"/>
    <w:pPr>
      <w:tabs>
        <w:tab w:val="left" w:pos="51"/>
        <w:tab w:val="left" w:pos="840"/>
      </w:tabs>
      <w:spacing w:line="360" w:lineRule="exact"/>
      <w:ind w:left="555" w:hanging="413"/>
      <w:jc w:val="both"/>
    </w:pPr>
    <w:rPr>
      <w:rFonts w:ascii="宋体" w:hAnsi="Times New Roman" w:eastAsia="宋体" w:cs="Times New Roman"/>
      <w:sz w:val="21"/>
      <w:lang w:val="en-US" w:eastAsia="zh-CN" w:bidi="ar-SA"/>
    </w:rPr>
  </w:style>
  <w:style w:type="character" w:customStyle="1" w:styleId="158">
    <w:name w:val="正文文本缩进 2 Char1"/>
    <w:basedOn w:val="41"/>
    <w:link w:val="21"/>
    <w:semiHidden/>
    <w:qFormat/>
    <w:uiPriority w:val="99"/>
    <w:rPr>
      <w:rFonts w:ascii="Times New Roman" w:hAnsi="Times New Roman" w:eastAsia="宋体" w:cs="Times New Roman"/>
      <w:szCs w:val="24"/>
    </w:rPr>
  </w:style>
  <w:style w:type="paragraph" w:customStyle="1" w:styleId="159">
    <w:name w:val="封面标准文稿编辑信息2"/>
    <w:basedOn w:val="160"/>
    <w:qFormat/>
    <w:uiPriority w:val="0"/>
    <w:pPr>
      <w:framePr w:wrap="around" w:y="4469"/>
    </w:pPr>
  </w:style>
  <w:style w:type="paragraph" w:customStyle="1" w:styleId="160">
    <w:name w:val="封面标准文稿编辑信息"/>
    <w:basedOn w:val="116"/>
    <w:qFormat/>
    <w:uiPriority w:val="0"/>
    <w:pPr>
      <w:framePr w:wrap="around"/>
      <w:spacing w:before="180" w:line="180" w:lineRule="exact"/>
    </w:pPr>
    <w:rPr>
      <w:sz w:val="21"/>
    </w:rPr>
  </w:style>
  <w:style w:type="paragraph" w:customStyle="1" w:styleId="161">
    <w:name w:val="附录表标题"/>
    <w:basedOn w:val="1"/>
    <w:next w:val="64"/>
    <w:qFormat/>
    <w:uiPriority w:val="0"/>
    <w:pPr>
      <w:tabs>
        <w:tab w:val="left" w:pos="180"/>
      </w:tabs>
      <w:spacing w:beforeLines="50" w:afterLines="50"/>
      <w:jc w:val="center"/>
    </w:pPr>
    <w:rPr>
      <w:rFonts w:ascii="黑体" w:eastAsia="黑体"/>
      <w:szCs w:val="21"/>
    </w:rPr>
  </w:style>
  <w:style w:type="paragraph" w:customStyle="1" w:styleId="162">
    <w:name w:val="标准书眉_偶数页"/>
    <w:basedOn w:val="146"/>
    <w:next w:val="1"/>
    <w:qFormat/>
    <w:uiPriority w:val="0"/>
    <w:pPr>
      <w:jc w:val="left"/>
    </w:pPr>
  </w:style>
  <w:style w:type="paragraph" w:customStyle="1" w:styleId="163">
    <w:name w:val="附录表标号"/>
    <w:basedOn w:val="1"/>
    <w:next w:val="64"/>
    <w:qFormat/>
    <w:uiPriority w:val="0"/>
    <w:pPr>
      <w:spacing w:line="14" w:lineRule="exact"/>
      <w:ind w:left="811" w:hanging="448"/>
      <w:jc w:val="center"/>
      <w:outlineLvl w:val="0"/>
    </w:pPr>
    <w:rPr>
      <w:color w:val="FFFFFF"/>
    </w:rPr>
  </w:style>
  <w:style w:type="paragraph" w:customStyle="1" w:styleId="164">
    <w:name w:val="图表脚注说明"/>
    <w:basedOn w:val="1"/>
    <w:qFormat/>
    <w:uiPriority w:val="0"/>
    <w:pPr>
      <w:ind w:left="544" w:hanging="181"/>
    </w:pPr>
    <w:rPr>
      <w:rFonts w:ascii="宋体"/>
      <w:sz w:val="18"/>
      <w:szCs w:val="18"/>
    </w:rPr>
  </w:style>
  <w:style w:type="character" w:customStyle="1" w:styleId="165">
    <w:name w:val="页脚 Char1"/>
    <w:basedOn w:val="41"/>
    <w:link w:val="24"/>
    <w:semiHidden/>
    <w:qFormat/>
    <w:uiPriority w:val="99"/>
    <w:rPr>
      <w:rFonts w:ascii="Times New Roman" w:hAnsi="Times New Roman" w:eastAsia="宋体" w:cs="Times New Roman"/>
      <w:sz w:val="18"/>
      <w:szCs w:val="18"/>
    </w:rPr>
  </w:style>
  <w:style w:type="character" w:customStyle="1" w:styleId="166">
    <w:name w:val="批注文字 Char1"/>
    <w:basedOn w:val="41"/>
    <w:link w:val="12"/>
    <w:semiHidden/>
    <w:qFormat/>
    <w:uiPriority w:val="99"/>
    <w:rPr>
      <w:rFonts w:ascii="Times New Roman" w:hAnsi="Times New Roman" w:eastAsia="宋体" w:cs="Times New Roman"/>
      <w:szCs w:val="24"/>
    </w:rPr>
  </w:style>
  <w:style w:type="paragraph" w:customStyle="1" w:styleId="167">
    <w:name w:val="封面标准名称2"/>
    <w:basedOn w:val="79"/>
    <w:qFormat/>
    <w:uiPriority w:val="0"/>
    <w:pPr>
      <w:framePr w:wrap="around" w:y="4469"/>
      <w:spacing w:beforeLines="630"/>
    </w:pPr>
  </w:style>
  <w:style w:type="character" w:customStyle="1" w:styleId="168">
    <w:name w:val="日期 Char1"/>
    <w:basedOn w:val="41"/>
    <w:link w:val="20"/>
    <w:semiHidden/>
    <w:qFormat/>
    <w:uiPriority w:val="99"/>
    <w:rPr>
      <w:rFonts w:ascii="Times New Roman" w:hAnsi="Times New Roman" w:eastAsia="宋体" w:cs="Times New Roman"/>
      <w:szCs w:val="24"/>
    </w:rPr>
  </w:style>
  <w:style w:type="character" w:customStyle="1" w:styleId="169">
    <w:name w:val="文档结构图 Char1"/>
    <w:basedOn w:val="41"/>
    <w:link w:val="11"/>
    <w:semiHidden/>
    <w:qFormat/>
    <w:uiPriority w:val="99"/>
    <w:rPr>
      <w:rFonts w:ascii="宋体" w:hAnsi="Times New Roman" w:eastAsia="宋体" w:cs="Times New Roman"/>
      <w:sz w:val="18"/>
      <w:szCs w:val="18"/>
    </w:rPr>
  </w:style>
  <w:style w:type="paragraph" w:customStyle="1" w:styleId="170">
    <w:name w:val="标准书眉一"/>
    <w:qFormat/>
    <w:uiPriority w:val="0"/>
    <w:pPr>
      <w:spacing w:line="360" w:lineRule="exact"/>
      <w:jc w:val="both"/>
    </w:pPr>
    <w:rPr>
      <w:rFonts w:ascii="Times New Roman" w:hAnsi="Times New Roman" w:eastAsia="宋体" w:cs="Times New Roman"/>
      <w:lang w:val="en-US" w:eastAsia="zh-CN" w:bidi="ar-SA"/>
    </w:rPr>
  </w:style>
  <w:style w:type="paragraph" w:customStyle="1" w:styleId="171">
    <w:name w:val="封面标准文稿类别2"/>
    <w:basedOn w:val="116"/>
    <w:qFormat/>
    <w:uiPriority w:val="0"/>
    <w:pPr>
      <w:framePr w:wrap="around" w:y="4469"/>
    </w:pPr>
  </w:style>
  <w:style w:type="paragraph" w:customStyle="1" w:styleId="172">
    <w:name w:val="标准书脚_偶数页"/>
    <w:qFormat/>
    <w:uiPriority w:val="0"/>
    <w:pPr>
      <w:spacing w:before="120" w:line="360" w:lineRule="exact"/>
      <w:ind w:left="221"/>
    </w:pPr>
    <w:rPr>
      <w:rFonts w:ascii="宋体" w:hAnsi="Times New Roman" w:eastAsia="宋体" w:cs="Times New Roman"/>
      <w:sz w:val="18"/>
      <w:szCs w:val="18"/>
      <w:lang w:val="en-US" w:eastAsia="zh-CN" w:bidi="ar-SA"/>
    </w:rPr>
  </w:style>
  <w:style w:type="paragraph" w:customStyle="1" w:styleId="173">
    <w:name w:val="终结线"/>
    <w:basedOn w:val="1"/>
    <w:qFormat/>
    <w:uiPriority w:val="0"/>
    <w:pPr>
      <w:framePr w:hSpace="181" w:vSpace="181" w:wrap="around" w:vAnchor="text" w:hAnchor="margin" w:xAlign="center" w:y="285"/>
    </w:pPr>
  </w:style>
  <w:style w:type="character" w:customStyle="1" w:styleId="174">
    <w:name w:val="批注主题 Char1"/>
    <w:basedOn w:val="166"/>
    <w:link w:val="37"/>
    <w:semiHidden/>
    <w:qFormat/>
    <w:uiPriority w:val="99"/>
    <w:rPr>
      <w:rFonts w:ascii="Times New Roman" w:hAnsi="Times New Roman" w:eastAsia="宋体" w:cs="Times New Roman"/>
      <w:b/>
      <w:bCs/>
      <w:szCs w:val="24"/>
    </w:rPr>
  </w:style>
  <w:style w:type="character" w:customStyle="1" w:styleId="175">
    <w:name w:val="尾注文本 Char1"/>
    <w:basedOn w:val="41"/>
    <w:link w:val="22"/>
    <w:semiHidden/>
    <w:qFormat/>
    <w:uiPriority w:val="99"/>
    <w:rPr>
      <w:rFonts w:ascii="Times New Roman" w:hAnsi="Times New Roman" w:eastAsia="宋体" w:cs="Times New Roman"/>
      <w:szCs w:val="24"/>
    </w:rPr>
  </w:style>
  <w:style w:type="paragraph" w:customStyle="1" w:styleId="176">
    <w:name w:val="示例"/>
    <w:next w:val="127"/>
    <w:qFormat/>
    <w:uiPriority w:val="0"/>
    <w:pPr>
      <w:widowControl w:val="0"/>
      <w:spacing w:line="360" w:lineRule="exact"/>
      <w:ind w:firstLine="363"/>
      <w:jc w:val="both"/>
    </w:pPr>
    <w:rPr>
      <w:rFonts w:ascii="宋体" w:hAnsi="Times New Roman" w:eastAsia="宋体" w:cs="Times New Roman"/>
      <w:sz w:val="18"/>
      <w:szCs w:val="18"/>
      <w:lang w:val="en-US" w:eastAsia="zh-CN" w:bidi="ar-SA"/>
    </w:rPr>
  </w:style>
  <w:style w:type="character" w:customStyle="1" w:styleId="177">
    <w:name w:val="正文文本 3 Char"/>
    <w:basedOn w:val="41"/>
    <w:link w:val="14"/>
    <w:semiHidden/>
    <w:qFormat/>
    <w:uiPriority w:val="99"/>
    <w:rPr>
      <w:rFonts w:ascii="Times New Roman" w:hAnsi="Times New Roman" w:eastAsia="宋体" w:cs="Times New Roman"/>
      <w:sz w:val="16"/>
      <w:szCs w:val="16"/>
    </w:rPr>
  </w:style>
  <w:style w:type="character" w:customStyle="1" w:styleId="178">
    <w:name w:val="标题 Char"/>
    <w:basedOn w:val="41"/>
    <w:link w:val="36"/>
    <w:qFormat/>
    <w:uiPriority w:val="0"/>
    <w:rPr>
      <w:rFonts w:ascii="Arial" w:hAnsi="Arial" w:eastAsia="宋体" w:cs="Times New Roman"/>
      <w:b/>
      <w:kern w:val="0"/>
      <w:sz w:val="32"/>
      <w:szCs w:val="20"/>
    </w:rPr>
  </w:style>
  <w:style w:type="paragraph" w:customStyle="1" w:styleId="179">
    <w:name w:val="p0"/>
    <w:basedOn w:val="1"/>
    <w:qFormat/>
    <w:uiPriority w:val="0"/>
    <w:pPr>
      <w:spacing w:line="240" w:lineRule="auto"/>
      <w:jc w:val="both"/>
    </w:pPr>
    <w:rPr>
      <w:kern w:val="0"/>
      <w:szCs w:val="21"/>
    </w:rPr>
  </w:style>
  <w:style w:type="character" w:customStyle="1" w:styleId="180">
    <w:name w:val="纯文本 Char"/>
    <w:basedOn w:val="41"/>
    <w:link w:val="18"/>
    <w:qFormat/>
    <w:uiPriority w:val="99"/>
    <w:rPr>
      <w:rFonts w:ascii="宋体" w:hAnsi="Courier New" w:eastAsia="宋体" w:cs="Courier New"/>
      <w:szCs w:val="21"/>
    </w:rPr>
  </w:style>
  <w:style w:type="paragraph" w:customStyle="1" w:styleId="181">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character" w:customStyle="1" w:styleId="182">
    <w:name w:val="正文文本 Char"/>
    <w:basedOn w:val="41"/>
    <w:link w:val="15"/>
    <w:semiHidden/>
    <w:qFormat/>
    <w:uiPriority w:val="99"/>
    <w:rPr>
      <w:kern w:val="2"/>
      <w:sz w:val="21"/>
      <w:szCs w:val="24"/>
    </w:rPr>
  </w:style>
  <w:style w:type="paragraph" w:customStyle="1" w:styleId="183">
    <w:name w:val="Table Paragraph"/>
    <w:basedOn w:val="1"/>
    <w:qFormat/>
    <w:uiPriority w:val="1"/>
    <w:pPr>
      <w:widowControl w:val="0"/>
      <w:autoSpaceDE w:val="0"/>
      <w:autoSpaceDN w:val="0"/>
      <w:spacing w:line="240" w:lineRule="auto"/>
    </w:pPr>
    <w:rPr>
      <w:rFonts w:ascii="仿宋" w:hAnsi="仿宋" w:eastAsia="仿宋" w:cs="仿宋"/>
      <w:kern w:val="0"/>
      <w:sz w:val="22"/>
      <w:szCs w:val="22"/>
      <w:lang w:val="zh-CN" w:bidi="zh-CN"/>
    </w:rPr>
  </w:style>
  <w:style w:type="character" w:customStyle="1" w:styleId="184">
    <w:name w:val="标题 4 Char"/>
    <w:basedOn w:val="41"/>
    <w:link w:val="6"/>
    <w:semiHidden/>
    <w:qFormat/>
    <w:uiPriority w:val="9"/>
    <w:rPr>
      <w:rFonts w:asciiTheme="majorHAnsi" w:hAnsiTheme="majorHAnsi" w:eastAsiaTheme="majorEastAsia" w:cstheme="majorBidi"/>
      <w:b/>
      <w:bCs/>
      <w:kern w:val="2"/>
      <w:sz w:val="28"/>
      <w:szCs w:val="28"/>
    </w:rPr>
  </w:style>
  <w:style w:type="paragraph" w:customStyle="1" w:styleId="185">
    <w:name w:val="_Style 2"/>
    <w:basedOn w:val="3"/>
    <w:next w:val="1"/>
    <w:qFormat/>
    <w:uiPriority w:val="0"/>
    <w:pPr>
      <w:spacing w:before="480" w:after="0" w:line="276" w:lineRule="auto"/>
      <w:outlineLvl w:val="9"/>
    </w:pPr>
    <w:rPr>
      <w:rFonts w:ascii="Cambria" w:hAnsi="Cambria"/>
      <w:color w:val="365F91"/>
      <w:kern w:val="0"/>
      <w:sz w:val="28"/>
      <w:szCs w:val="28"/>
    </w:rPr>
  </w:style>
  <w:style w:type="character" w:customStyle="1" w:styleId="186">
    <w:name w:val="font51"/>
    <w:basedOn w:val="41"/>
    <w:qFormat/>
    <w:uiPriority w:val="0"/>
    <w:rPr>
      <w:rFonts w:hint="eastAsia" w:ascii="宋体" w:hAnsi="宋体" w:eastAsia="宋体" w:cs="宋体"/>
      <w:color w:val="000000"/>
      <w:sz w:val="22"/>
      <w:szCs w:val="22"/>
      <w:u w:val="none"/>
    </w:rPr>
  </w:style>
  <w:style w:type="character" w:customStyle="1" w:styleId="187">
    <w:name w:val="font21"/>
    <w:basedOn w:val="41"/>
    <w:qFormat/>
    <w:uiPriority w:val="0"/>
    <w:rPr>
      <w:rFonts w:hint="eastAsia" w:ascii="宋体" w:hAnsi="宋体" w:eastAsia="宋体" w:cs="宋体"/>
      <w:color w:val="FF0000"/>
      <w:sz w:val="22"/>
      <w:szCs w:val="22"/>
      <w:u w:val="none"/>
    </w:rPr>
  </w:style>
  <w:style w:type="character" w:customStyle="1" w:styleId="188">
    <w:name w:val="font11"/>
    <w:basedOn w:val="41"/>
    <w:qFormat/>
    <w:uiPriority w:val="0"/>
    <w:rPr>
      <w:rFonts w:hint="eastAsia" w:ascii="宋体" w:hAnsi="宋体" w:eastAsia="宋体" w:cs="宋体"/>
      <w:color w:val="000000"/>
      <w:sz w:val="22"/>
      <w:szCs w:val="22"/>
      <w:u w:val="none"/>
      <w:vertAlign w:val="superscript"/>
    </w:rPr>
  </w:style>
  <w:style w:type="character" w:customStyle="1" w:styleId="189">
    <w:name w:val="font41"/>
    <w:basedOn w:val="41"/>
    <w:qFormat/>
    <w:uiPriority w:val="0"/>
    <w:rPr>
      <w:rFonts w:hint="eastAsia" w:ascii="宋体" w:hAnsi="宋体" w:eastAsia="宋体" w:cs="宋体"/>
      <w:color w:val="000000"/>
      <w:sz w:val="22"/>
      <w:szCs w:val="22"/>
      <w:u w:val="none"/>
    </w:rPr>
  </w:style>
  <w:style w:type="character" w:customStyle="1" w:styleId="190">
    <w:name w:val="font01"/>
    <w:basedOn w:val="41"/>
    <w:qFormat/>
    <w:uiPriority w:val="0"/>
    <w:rPr>
      <w:rFonts w:hint="eastAsia" w:ascii="宋体" w:hAnsi="宋体" w:eastAsia="宋体" w:cs="宋体"/>
      <w:color w:val="000000"/>
      <w:sz w:val="22"/>
      <w:szCs w:val="22"/>
      <w:u w:val="none"/>
      <w:vertAlign w:val="superscript"/>
    </w:rPr>
  </w:style>
  <w:style w:type="character" w:customStyle="1" w:styleId="191">
    <w:name w:val="font81"/>
    <w:basedOn w:val="41"/>
    <w:qFormat/>
    <w:uiPriority w:val="0"/>
    <w:rPr>
      <w:rFonts w:hint="eastAsia" w:ascii="宋体" w:hAnsi="宋体" w:eastAsia="宋体" w:cs="宋体"/>
      <w:color w:val="000000"/>
      <w:sz w:val="20"/>
      <w:szCs w:val="20"/>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C1852-504A-4010-BFD9-9C5C9ACF03A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53</Pages>
  <Words>21521</Words>
  <Characters>23297</Characters>
  <Lines>188</Lines>
  <Paragraphs>53</Paragraphs>
  <TotalTime>49</TotalTime>
  <ScaleCrop>false</ScaleCrop>
  <LinksUpToDate>false</LinksUpToDate>
  <CharactersWithSpaces>24652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2023-03-13T02:25:00Z</dcterms:created>
  <dc:creator>杨玲</dc:creator>
  <cp:lastModifiedBy>勒哩</cp:lastModifiedBy>
  <cp:lastPrinted>2021-09-06T09:12:00Z</cp:lastPrinted>
  <dcterms:modified xsi:type="dcterms:W3CDTF">2023-03-29T06:47:40Z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9F493FF95C90427EA6E08DDCDED85F0D</vt:lpwstr>
  </property>
</Properties>
</file>